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rPr>
        <w:t>English version below. النسخة العربية في نهاية المستند.</w:t>
      </w:r>
    </w:p>
    <w:p>
      <w:pPr>
        <w:pStyle w:val="Heading1"/>
      </w:pPr>
      <w:r>
        <w:rPr>
          <w:color w:val="1C8C82"/>
        </w:rPr>
        <w:t>Medication Management Policy</w:t>
      </w:r>
    </w:p>
    <w:p>
      <w:r>
        <w:t>Implements DHA Standards for Outpatient Facilities (DHA/HRS/HPSD/ST-45) Sections 6 and 10, and the DHA Emergency Medication Policy.</w:t>
      </w:r>
    </w:p>
    <w:p>
      <w:pPr>
        <w:pStyle w:val="Heading2"/>
      </w:pPr>
      <w:r>
        <w:rPr>
          <w:color w:val="0A1628"/>
        </w:rPr>
        <w:t>1. Document control</w:t>
      </w:r>
    </w:p>
    <w:tbl>
      <w:tblPr>
        <w:tblStyle w:val="TableGrid"/>
        <w:tblW w:type="auto" w:w="0"/>
        <w:tblLook w:firstColumn="1" w:firstRow="1" w:lastColumn="0" w:lastRow="0" w:noHBand="0" w:noVBand="1" w:val="04A0"/>
      </w:tblPr>
      <w:tblGrid>
        <w:gridCol w:w="4320"/>
        <w:gridCol w:w="4320"/>
      </w:tblGrid>
      <w:tr>
        <w:tc>
          <w:tcPr>
            <w:tcW w:type="dxa" w:w="4320"/>
          </w:tcPr>
          <w:p>
            <w:r/>
            <w:r>
              <w:rPr>
                <w:b/>
                <w:sz w:val="18"/>
              </w:rPr>
              <w:t>Policy title</w:t>
            </w:r>
          </w:p>
        </w:tc>
        <w:tc>
          <w:tcPr>
            <w:tcW w:type="dxa" w:w="4320"/>
          </w:tcPr>
          <w:p>
            <w:r/>
            <w:r>
              <w:rPr>
                <w:b w:val="0"/>
                <w:sz w:val="18"/>
              </w:rPr>
            </w:r>
          </w:p>
        </w:tc>
      </w:tr>
      <w:tr>
        <w:tc>
          <w:tcPr>
            <w:tcW w:type="dxa" w:w="4320"/>
          </w:tcPr>
          <w:p>
            <w:r/>
            <w:r>
              <w:rPr>
                <w:b/>
                <w:sz w:val="18"/>
              </w:rPr>
              <w:t>Policy number</w:t>
            </w:r>
          </w:p>
        </w:tc>
        <w:tc>
          <w:tcPr>
            <w:tcW w:type="dxa" w:w="4320"/>
          </w:tcPr>
          <w:p>
            <w:r/>
            <w:r>
              <w:rPr>
                <w:b w:val="0"/>
                <w:sz w:val="18"/>
              </w:rPr>
            </w:r>
          </w:p>
        </w:tc>
      </w:tr>
      <w:tr>
        <w:tc>
          <w:tcPr>
            <w:tcW w:type="dxa" w:w="4320"/>
          </w:tcPr>
          <w:p>
            <w:r/>
            <w:r>
              <w:rPr>
                <w:b/>
                <w:sz w:val="18"/>
              </w:rPr>
              <w:t>Version</w:t>
            </w:r>
          </w:p>
        </w:tc>
        <w:tc>
          <w:tcPr>
            <w:tcW w:type="dxa" w:w="4320"/>
          </w:tcPr>
          <w:p>
            <w:r/>
            <w:r>
              <w:rPr>
                <w:b w:val="0"/>
                <w:sz w:val="18"/>
              </w:rPr>
              <w:t>1.0</w:t>
            </w:r>
          </w:p>
        </w:tc>
      </w:tr>
      <w:tr>
        <w:tc>
          <w:tcPr>
            <w:tcW w:type="dxa" w:w="4320"/>
          </w:tcPr>
          <w:p>
            <w:r/>
            <w:r>
              <w:rPr>
                <w:b/>
                <w:sz w:val="18"/>
              </w:rPr>
              <w:t>Issue date</w:t>
            </w:r>
          </w:p>
        </w:tc>
        <w:tc>
          <w:tcPr>
            <w:tcW w:type="dxa" w:w="4320"/>
          </w:tcPr>
          <w:p>
            <w:r/>
            <w:r>
              <w:rPr>
                <w:b w:val="0"/>
                <w:sz w:val="18"/>
              </w:rPr>
            </w:r>
          </w:p>
        </w:tc>
      </w:tr>
      <w:tr>
        <w:tc>
          <w:tcPr>
            <w:tcW w:type="dxa" w:w="4320"/>
          </w:tcPr>
          <w:p>
            <w:r/>
            <w:r>
              <w:rPr>
                <w:b/>
                <w:sz w:val="18"/>
              </w:rPr>
              <w:t>Effective date</w:t>
            </w:r>
          </w:p>
        </w:tc>
        <w:tc>
          <w:tcPr>
            <w:tcW w:type="dxa" w:w="4320"/>
          </w:tcPr>
          <w:p>
            <w:r/>
            <w:r>
              <w:rPr>
                <w:b w:val="0"/>
                <w:sz w:val="18"/>
              </w:rPr>
            </w:r>
          </w:p>
        </w:tc>
      </w:tr>
      <w:tr>
        <w:tc>
          <w:tcPr>
            <w:tcW w:type="dxa" w:w="4320"/>
          </w:tcPr>
          <w:p>
            <w:r/>
            <w:r>
              <w:rPr>
                <w:b/>
                <w:sz w:val="18"/>
              </w:rPr>
              <w:t>Next review date</w:t>
            </w:r>
          </w:p>
        </w:tc>
        <w:tc>
          <w:tcPr>
            <w:tcW w:type="dxa" w:w="4320"/>
          </w:tcPr>
          <w:p>
            <w:r/>
            <w:r>
              <w:rPr>
                <w:b w:val="0"/>
                <w:sz w:val="18"/>
              </w:rPr>
            </w:r>
          </w:p>
        </w:tc>
      </w:tr>
      <w:tr>
        <w:tc>
          <w:tcPr>
            <w:tcW w:type="dxa" w:w="4320"/>
          </w:tcPr>
          <w:p>
            <w:r/>
            <w:r>
              <w:rPr>
                <w:b/>
                <w:sz w:val="18"/>
              </w:rPr>
              <w:t>Policy owner</w:t>
            </w:r>
          </w:p>
        </w:tc>
        <w:tc>
          <w:tcPr>
            <w:tcW w:type="dxa" w:w="4320"/>
          </w:tcPr>
          <w:p>
            <w:r/>
            <w:r>
              <w:rPr>
                <w:b w:val="0"/>
                <w:sz w:val="18"/>
              </w:rPr>
              <w:t>Medical Director</w:t>
            </w:r>
          </w:p>
        </w:tc>
      </w:tr>
      <w:tr>
        <w:tc>
          <w:tcPr>
            <w:tcW w:type="dxa" w:w="4320"/>
          </w:tcPr>
          <w:p>
            <w:r/>
            <w:r>
              <w:rPr>
                <w:b/>
                <w:sz w:val="18"/>
              </w:rPr>
              <w:t>Approved by</w:t>
            </w:r>
          </w:p>
        </w:tc>
        <w:tc>
          <w:tcPr>
            <w:tcW w:type="dxa" w:w="4320"/>
          </w:tcPr>
          <w:p>
            <w:r/>
            <w:r>
              <w:rPr>
                <w:b w:val="0"/>
                <w:sz w:val="18"/>
              </w:rPr>
            </w:r>
          </w:p>
        </w:tc>
      </w:tr>
      <w:tr>
        <w:tc>
          <w:tcPr>
            <w:tcW w:type="dxa" w:w="4320"/>
          </w:tcPr>
          <w:p>
            <w:r/>
            <w:r>
              <w:rPr>
                <w:b/>
                <w:sz w:val="18"/>
              </w:rPr>
              <w:t>Approval date</w:t>
            </w:r>
          </w:p>
        </w:tc>
        <w:tc>
          <w:tcPr>
            <w:tcW w:type="dxa" w:w="4320"/>
          </w:tcPr>
          <w:p>
            <w:r/>
            <w:r>
              <w:rPr>
                <w:b w:val="0"/>
                <w:sz w:val="18"/>
              </w:rPr>
            </w:r>
          </w:p>
        </w:tc>
      </w:tr>
    </w:tbl>
    <w:p>
      <w:pPr>
        <w:pStyle w:val="Heading2"/>
      </w:pPr>
      <w:r>
        <w:rPr>
          <w:color w:val="0A1628"/>
        </w:rPr>
        <w:t>2. Purpose</w:t>
      </w:r>
    </w:p>
    <w:p>
      <w:r>
        <w:t>To ensure medicines are procured, stored, prescribed, dispensed, administered and disposed of safely, and that emergency medications are always available and in date.</w:t>
      </w:r>
    </w:p>
    <w:p>
      <w:pPr>
        <w:pStyle w:val="Heading2"/>
      </w:pPr>
      <w:r>
        <w:rPr>
          <w:color w:val="0A1628"/>
        </w:rPr>
        <w:t>3. Scope</w:t>
      </w:r>
    </w:p>
    <w:p>
      <w:r>
        <w:t>All staff who prescribe, handle, store or administer medicines. All medicine storage locations including the emergency trolley and refrigerators. All prescribing and administration events.</w:t>
      </w:r>
    </w:p>
    <w:p>
      <w:pPr>
        <w:pStyle w:val="Heading2"/>
      </w:pPr>
      <w:r>
        <w:rPr>
          <w:color w:val="0A1628"/>
        </w:rPr>
        <w:t>4. Definitions</w:t>
      </w:r>
    </w:p>
    <w:p>
      <w:pPr>
        <w:pStyle w:val="ListBullet"/>
      </w:pPr>
      <w:r>
        <w:t>High-alert medication: a medicine that carries a heightened risk of significant harm when used in error.</w:t>
      </w:r>
    </w:p>
    <w:p>
      <w:pPr>
        <w:pStyle w:val="ListBullet"/>
      </w:pPr>
      <w:r>
        <w:t>LASA: look-alike, sound-alike medicines.</w:t>
      </w:r>
    </w:p>
    <w:p>
      <w:pPr>
        <w:pStyle w:val="ListBullet"/>
      </w:pPr>
      <w:r>
        <w:t>Emergency medications: the DHA-specified list of drugs held for resuscitation and acute events.</w:t>
      </w:r>
    </w:p>
    <w:p>
      <w:pPr>
        <w:pStyle w:val="ListBullet"/>
      </w:pPr>
      <w:r>
        <w:t>Cold chain: unbroken refrigerated storage and handling for medicines requiring 2 to 8 degrees Celsius.</w:t>
      </w:r>
    </w:p>
    <w:p>
      <w:pPr>
        <w:pStyle w:val="Heading2"/>
      </w:pPr>
      <w:r>
        <w:rPr>
          <w:color w:val="0A1628"/>
        </w:rPr>
        <w:t>5. Responsibilities</w:t>
      </w:r>
    </w:p>
    <w:p>
      <w:pPr>
        <w:pStyle w:val="ListBullet"/>
      </w:pPr>
      <w:r>
        <w:t>Medical Director: owns this policy, approves the formulary, reviews medication incidents.</w:t>
      </w:r>
    </w:p>
    <w:p>
      <w:pPr>
        <w:pStyle w:val="ListBullet"/>
      </w:pPr>
      <w:r>
        <w:t>Designated medication custodian (named): manages stock, expiry checks, temperature logs, the emergency trolley and the controlled drugs register where applicable.</w:t>
      </w:r>
    </w:p>
    <w:p>
      <w:pPr>
        <w:pStyle w:val="ListBullet"/>
      </w:pPr>
      <w:r>
        <w:t>Prescribers: only DHA-licensed practitioners with the relevant clinical privileges may prescribe.</w:t>
      </w:r>
    </w:p>
    <w:p>
      <w:pPr>
        <w:pStyle w:val="ListBullet"/>
      </w:pPr>
      <w:r>
        <w:t>All clinical staff: check allergies before administration, record every dose, report every medication error and near miss.</w:t>
      </w:r>
    </w:p>
    <w:p>
      <w:pPr>
        <w:pStyle w:val="Heading2"/>
      </w:pPr>
      <w:r>
        <w:rPr>
          <w:color w:val="0A1628"/>
        </w:rPr>
        <w:t>6. Procedure</w:t>
      </w:r>
    </w:p>
    <w:p>
      <w:pPr>
        <w:pStyle w:val="Heading3"/>
      </w:pPr>
      <w:r>
        <w:rPr>
          <w:color w:val="0A1628"/>
        </w:rPr>
        <w:t>6.1 Procurement and formulary</w:t>
      </w:r>
    </w:p>
    <w:p>
      <w:pPr>
        <w:pStyle w:val="ListNumber"/>
      </w:pPr>
      <w:r>
        <w:t>Medicines are purchased only from suppliers licensed by the UAE Ministry of Health and Prevention or the DHA.</w:t>
      </w:r>
    </w:p>
    <w:p>
      <w:pPr>
        <w:pStyle w:val="ListNumber"/>
      </w:pPr>
      <w:r>
        <w:t>The clinic maintains an approved formulary appropriate to its scope of service, reviewed annually.</w:t>
      </w:r>
    </w:p>
    <w:p>
      <w:pPr>
        <w:pStyle w:val="Heading3"/>
      </w:pPr>
      <w:r>
        <w:rPr>
          <w:color w:val="0A1628"/>
        </w:rPr>
        <w:t>6.2 Storage</w:t>
      </w:r>
    </w:p>
    <w:p>
      <w:pPr>
        <w:pStyle w:val="ListNumber"/>
      </w:pPr>
      <w:r>
        <w:t>Medicines are stored in a secured area accessible only to authorised staff.</w:t>
      </w:r>
    </w:p>
    <w:p>
      <w:pPr>
        <w:pStyle w:val="ListNumber"/>
      </w:pPr>
      <w:r>
        <w:t>Ambient storage is kept within 25 degrees Celsius and monitored. Refrigerated medicines are kept at 2 to 8 degrees Celsius.</w:t>
      </w:r>
    </w:p>
    <w:p>
      <w:pPr>
        <w:pStyle w:val="ListNumber"/>
      </w:pPr>
      <w:r>
        <w:t>Temperature is logged at least twice on each working day for every storage location and refrigerator (Attachment A). Out-of-range readings trigger the excursion procedure and are recorded.</w:t>
      </w:r>
    </w:p>
    <w:p>
      <w:pPr>
        <w:pStyle w:val="ListNumber"/>
      </w:pPr>
      <w:r>
        <w:t>High-alert medications are identified with a warning label and stored separately. LASA medicines are physically separated and labelled.</w:t>
      </w:r>
    </w:p>
    <w:p>
      <w:pPr>
        <w:pStyle w:val="ListNumber"/>
      </w:pPr>
      <w:r>
        <w:t>External-use and internal-use products are stored apart. Vaccines follow the cold chain at all times.</w:t>
      </w:r>
    </w:p>
    <w:p>
      <w:pPr>
        <w:pStyle w:val="Heading3"/>
      </w:pPr>
      <w:r>
        <w:rPr>
          <w:color w:val="0A1628"/>
        </w:rPr>
        <w:t>6.3 Emergency medications</w:t>
      </w:r>
    </w:p>
    <w:p>
      <w:pPr>
        <w:pStyle w:val="ListNumber"/>
      </w:pPr>
      <w:r>
        <w:t>The emergency trolley or box holds the full DHA-specified emergency medication list for the clinic's category.</w:t>
      </w:r>
    </w:p>
    <w:p>
      <w:pPr>
        <w:pStyle w:val="ListNumber"/>
      </w:pPr>
      <w:r>
        <w:t>The trolley is sealed with a numbered tag. The seal and the contents against the checklist (Attachment B) are checked at a defined interval, at minimum weekly, and after every use.</w:t>
      </w:r>
    </w:p>
    <w:p>
      <w:pPr>
        <w:pStyle w:val="ListNumber"/>
      </w:pPr>
      <w:r>
        <w:t>Any item used or expiring within 30 days is replaced immediately and the check log updated.</w:t>
      </w:r>
    </w:p>
    <w:p>
      <w:pPr>
        <w:pStyle w:val="ListNumber"/>
      </w:pPr>
      <w:r>
        <w:t>Hotel clinics and company clinics that are not required to hold the full list still hold the subset defined in the DHA Emergency Medication Policy.</w:t>
      </w:r>
    </w:p>
    <w:p>
      <w:pPr>
        <w:pStyle w:val="Heading3"/>
      </w:pPr>
      <w:r>
        <w:rPr>
          <w:color w:val="0A1628"/>
        </w:rPr>
        <w:t>6.4 Prescribing</w:t>
      </w:r>
    </w:p>
    <w:p>
      <w:pPr>
        <w:pStyle w:val="ListNumber"/>
      </w:pPr>
      <w:r>
        <w:t>The prescriber confirms the patient's identity, allergies and current medicines before prescribing.</w:t>
      </w:r>
    </w:p>
    <w:p>
      <w:pPr>
        <w:pStyle w:val="ListNumber"/>
      </w:pPr>
      <w:r>
        <w:t>Prescriptions are legible, dated, and include drug, strength, form, dose, route, frequency and duration. Abbreviations that are error-prone are not used.</w:t>
      </w:r>
    </w:p>
    <w:p>
      <w:pPr>
        <w:pStyle w:val="ListNumber"/>
      </w:pPr>
      <w:r>
        <w:t>The prescription is recorded in the patient's health record.</w:t>
      </w:r>
    </w:p>
    <w:p>
      <w:pPr>
        <w:pStyle w:val="Heading3"/>
      </w:pPr>
      <w:r>
        <w:rPr>
          <w:color w:val="0A1628"/>
        </w:rPr>
        <w:t>6.5 Administration</w:t>
      </w:r>
    </w:p>
    <w:p>
      <w:pPr>
        <w:pStyle w:val="ListNumber"/>
      </w:pPr>
      <w:r>
        <w:t>Before administration the staff member checks: right patient, right drug, right dose, right route, right time, and allergy status.</w:t>
      </w:r>
    </w:p>
    <w:p>
      <w:pPr>
        <w:pStyle w:val="ListNumber"/>
      </w:pPr>
      <w:r>
        <w:t>Aseptic technique is used for all injectable preparation and administration.</w:t>
      </w:r>
    </w:p>
    <w:p>
      <w:pPr>
        <w:pStyle w:val="ListNumber"/>
      </w:pPr>
      <w:r>
        <w:t>Every dose administered, and every dose withheld or refused, is recorded in the health record with time and the administering staff member's identity.</w:t>
      </w:r>
    </w:p>
    <w:p>
      <w:pPr>
        <w:pStyle w:val="ListNumber"/>
      </w:pPr>
      <w:r>
        <w:t>Patients are observed for adverse reactions and anaphylaxis management is available wherever injections are given.</w:t>
      </w:r>
    </w:p>
    <w:p>
      <w:pPr>
        <w:pStyle w:val="Heading3"/>
      </w:pPr>
      <w:r>
        <w:rPr>
          <w:color w:val="0A1628"/>
        </w:rPr>
        <w:t>6.6 Controlled drugs</w:t>
      </w:r>
    </w:p>
    <w:p>
      <w:pPr>
        <w:pStyle w:val="ListNumber"/>
      </w:pPr>
      <w:r>
        <w:t>Where the clinic holds controlled drugs, they are kept in a double-locked cabinet within the secured store.</w:t>
      </w:r>
    </w:p>
    <w:p>
      <w:pPr>
        <w:pStyle w:val="ListNumber"/>
      </w:pPr>
      <w:r>
        <w:t>A bound controlled drugs register records every receipt and administration with running balance, and is reconciled against physical stock each shift by two staff.</w:t>
      </w:r>
    </w:p>
    <w:p>
      <w:pPr>
        <w:pStyle w:val="ListNumber"/>
      </w:pPr>
      <w:r>
        <w:t>Discrepancies are reported immediately to the Medical Director and recorded as an incident.</w:t>
      </w:r>
    </w:p>
    <w:p>
      <w:pPr>
        <w:pStyle w:val="Heading3"/>
      </w:pPr>
      <w:r>
        <w:rPr>
          <w:color w:val="0A1628"/>
        </w:rPr>
        <w:t>6.7 Expiry, recalls and disposal</w:t>
      </w:r>
    </w:p>
    <w:p>
      <w:pPr>
        <w:pStyle w:val="ListNumber"/>
      </w:pPr>
      <w:r>
        <w:t>Stock is checked for expiry at least monthly. Near-expiry stock is moved to the front or removed.</w:t>
      </w:r>
    </w:p>
    <w:p>
      <w:pPr>
        <w:pStyle w:val="ListNumber"/>
      </w:pPr>
      <w:r>
        <w:t>Recall notices are actioned on receipt, affected stock quarantined, and the action recorded.</w:t>
      </w:r>
    </w:p>
    <w:p>
      <w:pPr>
        <w:pStyle w:val="ListNumber"/>
      </w:pPr>
      <w:r>
        <w:t>Expired, recalled and unusable medicines are segregated and disposed of through an approved route per the DHA Medications Disposal and Waste Management Policy. Disposal is documented.</w:t>
      </w:r>
    </w:p>
    <w:p>
      <w:pPr>
        <w:pStyle w:val="Heading3"/>
      </w:pPr>
      <w:r>
        <w:rPr>
          <w:color w:val="0A1628"/>
        </w:rPr>
        <w:t>6.8 Medication incidents</w:t>
      </w:r>
    </w:p>
    <w:p>
      <w:r>
        <w:t>Every medication error, near miss and adverse drug reaction is reported through the incident reporting policy, reviewed for cause, and used to improve the process. Serious harm is escalated per the sentinel event policy.</w:t>
      </w:r>
    </w:p>
    <w:p>
      <w:pPr>
        <w:pStyle w:val="Heading2"/>
      </w:pPr>
      <w:r>
        <w:rPr>
          <w:color w:val="0A1628"/>
        </w:rPr>
        <w:t>7. Monitoring and audit</w:t>
      </w:r>
    </w:p>
    <w:p>
      <w:pPr>
        <w:pStyle w:val="ListBullet"/>
      </w:pPr>
      <w:r>
        <w:t>Daily temperature logs, reviewed weekly by the custodian.</w:t>
      </w:r>
    </w:p>
    <w:p>
      <w:pPr>
        <w:pStyle w:val="ListBullet"/>
      </w:pPr>
      <w:r>
        <w:t>Weekly emergency trolley check.</w:t>
      </w:r>
    </w:p>
    <w:p>
      <w:pPr>
        <w:pStyle w:val="ListBullet"/>
      </w:pPr>
      <w:r>
        <w:t>Monthly expiry and stock audit.</w:t>
      </w:r>
    </w:p>
    <w:p>
      <w:pPr>
        <w:pStyle w:val="ListBullet"/>
      </w:pPr>
      <w:r>
        <w:t>Annual review of this policy, the formulary and all medication incidents.</w:t>
      </w:r>
    </w:p>
    <w:p>
      <w:pPr>
        <w:pStyle w:val="Heading2"/>
      </w:pPr>
      <w:r>
        <w:rPr>
          <w:color w:val="0A1628"/>
        </w:rPr>
        <w:t>8. References</w:t>
      </w:r>
    </w:p>
    <w:p>
      <w:pPr>
        <w:pStyle w:val="ListBullet"/>
      </w:pPr>
      <w:r>
        <w:t>DHA Standards for Outpatient Facilities (DHA/HRS/HPSD/ST-45), Sections 6 and 10.</w:t>
      </w:r>
    </w:p>
    <w:p>
      <w:pPr>
        <w:pStyle w:val="ListBullet"/>
      </w:pPr>
      <w:r>
        <w:t>DHA Emergency Medication Policy.</w:t>
      </w:r>
    </w:p>
    <w:p>
      <w:pPr>
        <w:pStyle w:val="ListBullet"/>
      </w:pPr>
      <w:r>
        <w:t>DHA Policy for Purchase of Emergency and other Medications.</w:t>
      </w:r>
    </w:p>
    <w:p>
      <w:pPr>
        <w:pStyle w:val="ListBullet"/>
      </w:pPr>
      <w:r>
        <w:t>DHA Medications Disposal and Waste Management Policy.</w:t>
      </w:r>
    </w:p>
    <w:p>
      <w:pPr>
        <w:pStyle w:val="Heading2"/>
      </w:pPr>
      <w:r>
        <w:rPr>
          <w:color w:val="0A1628"/>
        </w:rPr>
        <w:t>9. Revision history</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18"/>
              </w:rPr>
              <w:t>Version</w:t>
            </w:r>
          </w:p>
        </w:tc>
        <w:tc>
          <w:tcPr>
            <w:tcW w:type="dxa" w:w="2160"/>
          </w:tcPr>
          <w:p>
            <w:r/>
            <w:r>
              <w:rPr>
                <w:b/>
                <w:sz w:val="18"/>
              </w:rPr>
              <w:t>Date</w:t>
            </w:r>
          </w:p>
        </w:tc>
        <w:tc>
          <w:tcPr>
            <w:tcW w:type="dxa" w:w="2160"/>
          </w:tcPr>
          <w:p>
            <w:r/>
            <w:r>
              <w:rPr>
                <w:b/>
                <w:sz w:val="18"/>
              </w:rPr>
              <w:t>Description of change</w:t>
            </w:r>
          </w:p>
        </w:tc>
        <w:tc>
          <w:tcPr>
            <w:tcW w:type="dxa" w:w="2160"/>
          </w:tcPr>
          <w:p>
            <w:r/>
            <w:r>
              <w:rPr>
                <w:b/>
                <w:sz w:val="18"/>
              </w:rPr>
              <w:t>Author</w:t>
            </w:r>
          </w:p>
        </w:tc>
      </w:tr>
      <w:tr>
        <w:tc>
          <w:tcPr>
            <w:tcW w:type="dxa" w:w="2160"/>
          </w:tcPr>
          <w:p>
            <w:r/>
            <w:r>
              <w:rPr>
                <w:b w:val="0"/>
                <w:sz w:val="18"/>
              </w:rPr>
              <w:t>1.0</w:t>
            </w:r>
          </w:p>
        </w:tc>
        <w:tc>
          <w:tcPr>
            <w:tcW w:type="dxa" w:w="2160"/>
          </w:tcPr>
          <w:p/>
        </w:tc>
        <w:tc>
          <w:tcPr>
            <w:tcW w:type="dxa" w:w="2160"/>
          </w:tcPr>
          <w:p>
            <w:r/>
            <w:r>
              <w:rPr>
                <w:b w:val="0"/>
                <w:sz w:val="18"/>
              </w:rPr>
              <w:t>Initial issue</w:t>
            </w:r>
          </w:p>
        </w:tc>
        <w:tc>
          <w:tcPr>
            <w:tcW w:type="dxa" w:w="2160"/>
          </w:tcPr>
          <w:p/>
        </w:tc>
      </w:tr>
      <w:tr>
        <w:tc>
          <w:tcPr>
            <w:tcW w:type="dxa" w:w="2160"/>
          </w:tcPr>
          <w:p/>
        </w:tc>
        <w:tc>
          <w:tcPr>
            <w:tcW w:type="dxa" w:w="2160"/>
          </w:tcPr>
          <w:p/>
        </w:tc>
        <w:tc>
          <w:tcPr>
            <w:tcW w:type="dxa" w:w="2160"/>
          </w:tcPr>
          <w:p/>
        </w:tc>
        <w:tc>
          <w:tcPr>
            <w:tcW w:type="dxa" w:w="2160"/>
          </w:tcPr>
          <w:p/>
        </w:tc>
      </w:tr>
    </w:tbl>
    <w:p>
      <w:r>
        <w:br w:type="page"/>
      </w:r>
    </w:p>
    <w:p>
      <w:pPr>
        <w:pStyle w:val="Heading2"/>
      </w:pPr>
      <w:r>
        <w:rPr>
          <w:color w:val="0A1628"/>
        </w:rPr>
        <w:t>Attachment A: Medication storage temperature log</w:t>
      </w:r>
    </w:p>
    <w:p>
      <w:r>
        <w:t>Location / fridge ID | Date | AM temp | AM time | AM initials | PM temp | PM time | PM initials | Action if out of range</w:t>
      </w:r>
    </w:p>
    <w:p>
      <w:pPr>
        <w:pStyle w:val="Heading2"/>
      </w:pPr>
      <w:r>
        <w:rPr>
          <w:color w:val="0A1628"/>
        </w:rPr>
        <w:t>Attachment B: Emergency medication checklist</w:t>
      </w:r>
    </w:p>
    <w:p>
      <w:r>
        <w:t>Drug | Strength | Form | Quantity required | Quantity present | Earliest expiry | Checked by | Date | Seal number</w:t>
      </w:r>
    </w:p>
    <w:p>
      <w:pPr>
        <w:pStyle w:val="Heading2"/>
      </w:pPr>
      <w:r>
        <w:rPr>
          <w:color w:val="0A1628"/>
        </w:rPr>
        <w:t>Attachment C: Controlled drugs register (format)</w:t>
      </w:r>
    </w:p>
    <w:p>
      <w:r>
        <w:t>Date | Drug and strength | Received / administered | Patient / reference | Amount | Balance | Given by | Witnessed by</w:t>
      </w:r>
    </w:p>
    <w:p>
      <w:r>
        <w:rPr>
          <w:i/>
          <w:color w:val="666666"/>
          <w:sz w:val="17"/>
        </w:rPr>
        <w:t>Template provided by Oryx Medical AI (oryxmedical.ai). Adapt every section to your own clinic before use. This is a starting point, not a compliance guarantee.</w:t>
      </w:r>
    </w:p>
    <w:p>
      <w:r>
        <w:br w:type="page"/>
      </w:r>
    </w:p>
    <w:p>
      <w:pPr>
        <w:pStyle w:val="Heading1"/>
      </w:pPr>
      <w:r>
        <w:rPr>
          <w:color w:val="1C8C82"/>
        </w:rPr>
        <w:t>سياسة إدارة الأدوية</w:t>
      </w:r>
    </w:p>
    <w:p>
      <w:r>
        <w:t>تنفيذاً لمعايير هيئة الصحة بدبي للمنشآت الخارجية (DHA/HRS/HPSD/ST-45) القسمين 6 و10، وسياسة أدوية الطوارئ الخاصة بالهيئة.</w:t>
      </w:r>
    </w:p>
    <w:p>
      <w:pPr>
        <w:pStyle w:val="Heading2"/>
      </w:pPr>
      <w:r>
        <w:rPr>
          <w:color w:val="0A1628"/>
        </w:rPr>
        <w:t>1. ضبط الوثيقة</w:t>
      </w:r>
    </w:p>
    <w:tbl>
      <w:tblPr>
        <w:tblStyle w:val="TableGrid"/>
        <w:tblW w:type="auto" w:w="0"/>
        <w:tblLook w:firstColumn="1" w:firstRow="1" w:lastColumn="0" w:lastRow="0" w:noHBand="0" w:noVBand="1" w:val="04A0"/>
      </w:tblPr>
      <w:tblGrid>
        <w:gridCol w:w="4320"/>
        <w:gridCol w:w="4320"/>
      </w:tblGrid>
      <w:tr>
        <w:tc>
          <w:tcPr>
            <w:tcW w:type="dxa" w:w="4320"/>
          </w:tcPr>
          <w:p>
            <w:r/>
            <w:r>
              <w:rPr>
                <w:b/>
                <w:sz w:val="18"/>
              </w:rPr>
              <w:t>عنوان السياسة</w:t>
            </w:r>
          </w:p>
        </w:tc>
        <w:tc>
          <w:tcPr>
            <w:tcW w:type="dxa" w:w="4320"/>
          </w:tcPr>
          <w:p>
            <w:r/>
            <w:r>
              <w:rPr>
                <w:b w:val="0"/>
                <w:sz w:val="18"/>
              </w:rPr>
            </w:r>
          </w:p>
        </w:tc>
      </w:tr>
      <w:tr>
        <w:tc>
          <w:tcPr>
            <w:tcW w:type="dxa" w:w="4320"/>
          </w:tcPr>
          <w:p>
            <w:r/>
            <w:r>
              <w:rPr>
                <w:b/>
                <w:sz w:val="18"/>
              </w:rPr>
              <w:t>رقم السياسة</w:t>
            </w:r>
          </w:p>
        </w:tc>
        <w:tc>
          <w:tcPr>
            <w:tcW w:type="dxa" w:w="4320"/>
          </w:tcPr>
          <w:p>
            <w:r/>
            <w:r>
              <w:rPr>
                <w:b w:val="0"/>
                <w:sz w:val="18"/>
              </w:rPr>
            </w:r>
          </w:p>
        </w:tc>
      </w:tr>
      <w:tr>
        <w:tc>
          <w:tcPr>
            <w:tcW w:type="dxa" w:w="4320"/>
          </w:tcPr>
          <w:p>
            <w:r/>
            <w:r>
              <w:rPr>
                <w:b/>
                <w:sz w:val="18"/>
              </w:rPr>
              <w:t>الإصدار</w:t>
            </w:r>
          </w:p>
        </w:tc>
        <w:tc>
          <w:tcPr>
            <w:tcW w:type="dxa" w:w="4320"/>
          </w:tcPr>
          <w:p>
            <w:r/>
            <w:r>
              <w:rPr>
                <w:b w:val="0"/>
                <w:sz w:val="18"/>
              </w:rPr>
              <w:t>1.0</w:t>
            </w:r>
          </w:p>
        </w:tc>
      </w:tr>
      <w:tr>
        <w:tc>
          <w:tcPr>
            <w:tcW w:type="dxa" w:w="4320"/>
          </w:tcPr>
          <w:p>
            <w:r/>
            <w:r>
              <w:rPr>
                <w:b/>
                <w:sz w:val="18"/>
              </w:rPr>
              <w:t>تاريخ الإصدار</w:t>
            </w:r>
          </w:p>
        </w:tc>
        <w:tc>
          <w:tcPr>
            <w:tcW w:type="dxa" w:w="4320"/>
          </w:tcPr>
          <w:p>
            <w:r/>
            <w:r>
              <w:rPr>
                <w:b w:val="0"/>
                <w:sz w:val="18"/>
              </w:rPr>
            </w:r>
          </w:p>
        </w:tc>
      </w:tr>
      <w:tr>
        <w:tc>
          <w:tcPr>
            <w:tcW w:type="dxa" w:w="4320"/>
          </w:tcPr>
          <w:p>
            <w:r/>
            <w:r>
              <w:rPr>
                <w:b/>
                <w:sz w:val="18"/>
              </w:rPr>
              <w:t>تاريخ السريان</w:t>
            </w:r>
          </w:p>
        </w:tc>
        <w:tc>
          <w:tcPr>
            <w:tcW w:type="dxa" w:w="4320"/>
          </w:tcPr>
          <w:p>
            <w:r/>
            <w:r>
              <w:rPr>
                <w:b w:val="0"/>
                <w:sz w:val="18"/>
              </w:rPr>
            </w:r>
          </w:p>
        </w:tc>
      </w:tr>
      <w:tr>
        <w:tc>
          <w:tcPr>
            <w:tcW w:type="dxa" w:w="4320"/>
          </w:tcPr>
          <w:p>
            <w:r/>
            <w:r>
              <w:rPr>
                <w:b/>
                <w:sz w:val="18"/>
              </w:rPr>
              <w:t>تاريخ المراجعة التالية</w:t>
            </w:r>
          </w:p>
        </w:tc>
        <w:tc>
          <w:tcPr>
            <w:tcW w:type="dxa" w:w="4320"/>
          </w:tcPr>
          <w:p>
            <w:r/>
            <w:r>
              <w:rPr>
                <w:b w:val="0"/>
                <w:sz w:val="18"/>
              </w:rPr>
            </w:r>
          </w:p>
        </w:tc>
      </w:tr>
      <w:tr>
        <w:tc>
          <w:tcPr>
            <w:tcW w:type="dxa" w:w="4320"/>
          </w:tcPr>
          <w:p>
            <w:r/>
            <w:r>
              <w:rPr>
                <w:b/>
                <w:sz w:val="18"/>
              </w:rPr>
              <w:t>مالك السياسة</w:t>
            </w:r>
          </w:p>
        </w:tc>
        <w:tc>
          <w:tcPr>
            <w:tcW w:type="dxa" w:w="4320"/>
          </w:tcPr>
          <w:p>
            <w:r/>
            <w:r>
              <w:rPr>
                <w:b w:val="0"/>
                <w:sz w:val="18"/>
              </w:rPr>
              <w:t>المدير الطبي</w:t>
            </w:r>
          </w:p>
        </w:tc>
      </w:tr>
      <w:tr>
        <w:tc>
          <w:tcPr>
            <w:tcW w:type="dxa" w:w="4320"/>
          </w:tcPr>
          <w:p>
            <w:r/>
            <w:r>
              <w:rPr>
                <w:b/>
                <w:sz w:val="18"/>
              </w:rPr>
              <w:t>اعتُمدت من قِبل</w:t>
            </w:r>
          </w:p>
        </w:tc>
        <w:tc>
          <w:tcPr>
            <w:tcW w:type="dxa" w:w="4320"/>
          </w:tcPr>
          <w:p>
            <w:r/>
            <w:r>
              <w:rPr>
                <w:b w:val="0"/>
                <w:sz w:val="18"/>
              </w:rPr>
            </w:r>
          </w:p>
        </w:tc>
      </w:tr>
      <w:tr>
        <w:tc>
          <w:tcPr>
            <w:tcW w:type="dxa" w:w="4320"/>
          </w:tcPr>
          <w:p>
            <w:r/>
            <w:r>
              <w:rPr>
                <w:b/>
                <w:sz w:val="18"/>
              </w:rPr>
              <w:t>تاريخ الاعتماد</w:t>
            </w:r>
          </w:p>
        </w:tc>
        <w:tc>
          <w:tcPr>
            <w:tcW w:type="dxa" w:w="4320"/>
          </w:tcPr>
          <w:p>
            <w:r/>
            <w:r>
              <w:rPr>
                <w:b w:val="0"/>
                <w:sz w:val="18"/>
              </w:rPr>
            </w:r>
          </w:p>
        </w:tc>
      </w:tr>
    </w:tbl>
    <w:p>
      <w:pPr>
        <w:pStyle w:val="Heading2"/>
      </w:pPr>
      <w:r>
        <w:rPr>
          <w:color w:val="0A1628"/>
        </w:rPr>
        <w:t>2. الغرض</w:t>
      </w:r>
    </w:p>
    <w:p>
      <w:r>
        <w:t>ضمان شراء الأدوية وتخزينها ووصفها وصرفها وإعطائها والتخلص منها بأمان، وضمان توفّر أدوية الطوارئ سارية الصلاحية دائماً.</w:t>
      </w:r>
    </w:p>
    <w:p>
      <w:pPr>
        <w:pStyle w:val="Heading2"/>
      </w:pPr>
      <w:r>
        <w:rPr>
          <w:color w:val="0A1628"/>
        </w:rPr>
        <w:t>3. النطاق</w:t>
      </w:r>
    </w:p>
    <w:p>
      <w:r>
        <w:t>جميع الموظفين الذين يصفون الأدوية أو يتعاملون معها أو يخزّنونها أو يعطونها. جميع أماكن تخزين الأدوية بما فيها عربة الطوارئ والثلاجات. جميع أحداث الوصف والإعطاء.</w:t>
      </w:r>
    </w:p>
    <w:p>
      <w:pPr>
        <w:pStyle w:val="Heading2"/>
      </w:pPr>
      <w:r>
        <w:rPr>
          <w:color w:val="0A1628"/>
        </w:rPr>
        <w:t>4. التعريفات</w:t>
      </w:r>
    </w:p>
    <w:p>
      <w:pPr>
        <w:pStyle w:val="ListBullet"/>
      </w:pPr>
      <w:r>
        <w:t>الدواء عالي التنبيه: دواء يحمل خطراً مرتفعاً لضرر جسيم عند استخدامه خطأً.</w:t>
      </w:r>
    </w:p>
    <w:p>
      <w:pPr>
        <w:pStyle w:val="ListBullet"/>
      </w:pPr>
      <w:r>
        <w:t>الأدوية المتشابهة شكلاً أو نطقاً (LASA).</w:t>
      </w:r>
    </w:p>
    <w:p>
      <w:pPr>
        <w:pStyle w:val="ListBullet"/>
      </w:pPr>
      <w:r>
        <w:t>أدوية الطوارئ: قائمة الأدوية المحددة من الهيئة للإنعاش والحالات الحادة.</w:t>
      </w:r>
    </w:p>
    <w:p>
      <w:pPr>
        <w:pStyle w:val="ListBullet"/>
      </w:pPr>
      <w:r>
        <w:t>سلسلة التبريد: تخزين ومناولة مبرَّدة غير منقطعة للأدوية التي تتطلب 2 إلى 8 درجات مئوية.</w:t>
      </w:r>
    </w:p>
    <w:p>
      <w:pPr>
        <w:pStyle w:val="Heading2"/>
      </w:pPr>
      <w:r>
        <w:rPr>
          <w:color w:val="0A1628"/>
        </w:rPr>
        <w:t>5. المسؤوليات</w:t>
      </w:r>
    </w:p>
    <w:p>
      <w:pPr>
        <w:pStyle w:val="ListBullet"/>
      </w:pPr>
      <w:r>
        <w:t>المدير الطبي: يملك هذه السياسة ويعتمد قائمة الأدوية ويراجع حوادث الأدوية.</w:t>
      </w:r>
    </w:p>
    <w:p>
      <w:pPr>
        <w:pStyle w:val="ListBullet"/>
      </w:pPr>
      <w:r>
        <w:t>أمين الأدوية المعيَّن (يُسمّى): يدير المخزون وفحوص الصلاحية وسجلات الحرارة وعربة الطوارئ وسجل الأدوية الخاضعة للرقابة حيثما ينطبق.</w:t>
      </w:r>
    </w:p>
    <w:p>
      <w:pPr>
        <w:pStyle w:val="ListBullet"/>
      </w:pPr>
      <w:r>
        <w:t>واصفو الأدوية: يقتصر الوصف على الممارسين المرخَّصين من الهيئة ذوي الصلاحيات السريرية المناسبة.</w:t>
      </w:r>
    </w:p>
    <w:p>
      <w:pPr>
        <w:pStyle w:val="ListBullet"/>
      </w:pPr>
      <w:r>
        <w:t>جميع الموظفين السريريين: التحقق من الحساسية قبل الإعطاء، وتسجيل كل جرعة، والإبلاغ عن كل خطأ دوائي وكل حادثة وشيكة.</w:t>
      </w:r>
    </w:p>
    <w:p>
      <w:pPr>
        <w:pStyle w:val="Heading2"/>
      </w:pPr>
      <w:r>
        <w:rPr>
          <w:color w:val="0A1628"/>
        </w:rPr>
        <w:t>6. الإجراء</w:t>
      </w:r>
    </w:p>
    <w:p>
      <w:pPr>
        <w:pStyle w:val="Heading3"/>
      </w:pPr>
      <w:r>
        <w:rPr>
          <w:color w:val="0A1628"/>
        </w:rPr>
        <w:t>6.1 الشراء وقائمة الأدوية</w:t>
      </w:r>
    </w:p>
    <w:p>
      <w:pPr>
        <w:pStyle w:val="ListNumber"/>
      </w:pPr>
      <w:r>
        <w:t>تُشترى الأدوية فقط من موردين مرخَّصين من وزارة الصحة ووقاية المجتمع أو هيئة الصحة بدبي.</w:t>
      </w:r>
    </w:p>
    <w:p>
      <w:pPr>
        <w:pStyle w:val="ListNumber"/>
      </w:pPr>
      <w:r>
        <w:t>تحتفظ العيادة بقائمة أدوية معتمَدة تناسب نطاق خدماتها وتُراجَع سنوياً.</w:t>
      </w:r>
    </w:p>
    <w:p>
      <w:pPr>
        <w:pStyle w:val="Heading3"/>
      </w:pPr>
      <w:r>
        <w:rPr>
          <w:color w:val="0A1628"/>
        </w:rPr>
        <w:t>6.2 التخزين</w:t>
      </w:r>
    </w:p>
    <w:p>
      <w:pPr>
        <w:pStyle w:val="ListNumber"/>
      </w:pPr>
      <w:r>
        <w:t>تُخزَّن الأدوية في منطقة مؤمَّنة لا يصل إليها إلا الموظفون المخوَّلون.</w:t>
      </w:r>
    </w:p>
    <w:p>
      <w:pPr>
        <w:pStyle w:val="ListNumber"/>
      </w:pPr>
      <w:r>
        <w:t>يُحفظ التخزين المحيط ضمن 25 درجة مئوية ويُراقَب. تُحفظ الأدوية المبرَّدة عند 2 إلى 8 درجات مئوية.</w:t>
      </w:r>
    </w:p>
    <w:p>
      <w:pPr>
        <w:pStyle w:val="ListNumber"/>
      </w:pPr>
      <w:r>
        <w:t>تُسجَّل الحرارة مرتين على الأقل في كل يوم عمل لكل موقع تخزين وثلاجة (المرفق أ). القراءات خارج النطاق تستوجب إجراء الانحراف وتُسجَّل.</w:t>
      </w:r>
    </w:p>
    <w:p>
      <w:pPr>
        <w:pStyle w:val="ListNumber"/>
      </w:pPr>
      <w:r>
        <w:t>تُميَّز الأدوية عالية التنبيه بملصق تحذيري وتُخزَّن منفصلة. تُفصل الأدوية المتشابهة شكلاً أو نطقاً وتُوسَم.</w:t>
      </w:r>
    </w:p>
    <w:p>
      <w:pPr>
        <w:pStyle w:val="ListNumber"/>
      </w:pPr>
      <w:r>
        <w:t>تُفصل منتجات الاستعمال الخارجي عن الداخلي. تتبع اللقاحات سلسلة التبريد دائماً.</w:t>
      </w:r>
    </w:p>
    <w:p>
      <w:pPr>
        <w:pStyle w:val="Heading3"/>
      </w:pPr>
      <w:r>
        <w:rPr>
          <w:color w:val="0A1628"/>
        </w:rPr>
        <w:t>6.3 أدوية الطوارئ</w:t>
      </w:r>
    </w:p>
    <w:p>
      <w:pPr>
        <w:pStyle w:val="ListNumber"/>
      </w:pPr>
      <w:r>
        <w:t>تحتوي عربة أو صندوق الطوارئ على قائمة أدوية الطوارئ الكاملة المحددة من الهيئة حسب فئة العيادة.</w:t>
      </w:r>
    </w:p>
    <w:p>
      <w:pPr>
        <w:pStyle w:val="ListNumber"/>
      </w:pPr>
      <w:r>
        <w:t>تُختم العربة بوسم مرقَّم. يُفحص الختم والمحتويات مقابل القائمة (المرفق ب) على فترات محددة، أسبوعياً كحدّ أدنى، وبعد كل استخدام.</w:t>
      </w:r>
    </w:p>
    <w:p>
      <w:pPr>
        <w:pStyle w:val="ListNumber"/>
      </w:pPr>
      <w:r>
        <w:t>أي صنف يُستخدَم أو تنتهي صلاحيته خلال 30 يوماً يُستبدَل فوراً ويُحدَّث سجل الفحص.</w:t>
      </w:r>
    </w:p>
    <w:p>
      <w:pPr>
        <w:pStyle w:val="ListNumber"/>
      </w:pPr>
      <w:r>
        <w:t>عيادات الفنادق وعيادات الشركات غير المطالَبة بالقائمة الكاملة تحتفظ بالمجموعة الفرعية المحددة في سياسة أدوية الطوارئ.</w:t>
      </w:r>
    </w:p>
    <w:p>
      <w:pPr>
        <w:pStyle w:val="Heading3"/>
      </w:pPr>
      <w:r>
        <w:rPr>
          <w:color w:val="0A1628"/>
        </w:rPr>
        <w:t>6.4 وصف الأدوية</w:t>
      </w:r>
    </w:p>
    <w:p>
      <w:pPr>
        <w:pStyle w:val="ListNumber"/>
      </w:pPr>
      <w:r>
        <w:t>يتأكد الواصف من هوية المريض وحساسيته وأدويته الحالية قبل الوصف.</w:t>
      </w:r>
    </w:p>
    <w:p>
      <w:pPr>
        <w:pStyle w:val="ListNumber"/>
      </w:pPr>
      <w:r>
        <w:t>تكون الوصفات مقروءة ومؤرَّخة وتتضمن الدواء والتركيز والشكل والجرعة وطريقة الإعطاء والتكرار والمدة. لا تُستخدَم الاختصارات المعرَّضة للخطأ.</w:t>
      </w:r>
    </w:p>
    <w:p>
      <w:pPr>
        <w:pStyle w:val="ListNumber"/>
      </w:pPr>
      <w:r>
        <w:t>تُسجَّل الوصفة في السجل الصحي للمريض.</w:t>
      </w:r>
    </w:p>
    <w:p>
      <w:pPr>
        <w:pStyle w:val="Heading3"/>
      </w:pPr>
      <w:r>
        <w:rPr>
          <w:color w:val="0A1628"/>
        </w:rPr>
        <w:t>6.5 الإعطاء</w:t>
      </w:r>
    </w:p>
    <w:p>
      <w:pPr>
        <w:pStyle w:val="ListNumber"/>
      </w:pPr>
      <w:r>
        <w:t>قبل الإعطاء يتحقق الموظف من: المريض الصحيح، الدواء الصحيح، الجرعة الصحيحة، الطريق الصحيح، الوقت الصحيح، وحالة الحساسية.</w:t>
      </w:r>
    </w:p>
    <w:p>
      <w:pPr>
        <w:pStyle w:val="ListNumber"/>
      </w:pPr>
      <w:r>
        <w:t>تُستخدَم التقنية المعقّمة في تحضير وإعطاء كل المستحضرات الحقنية.</w:t>
      </w:r>
    </w:p>
    <w:p>
      <w:pPr>
        <w:pStyle w:val="ListNumber"/>
      </w:pPr>
      <w:r>
        <w:t>تُسجَّل كل جرعة معطاة وكل جرعة محجوبة أو مرفوضة في السجل الصحي مع الوقت وهوية الموظف المُعطي.</w:t>
      </w:r>
    </w:p>
    <w:p>
      <w:pPr>
        <w:pStyle w:val="ListNumber"/>
      </w:pPr>
      <w:r>
        <w:t>يُراقَب المرضى لرصد التفاعلات الضائرة، ويتوفّر علاج التأق أينما تُعطى الحقن.</w:t>
      </w:r>
    </w:p>
    <w:p>
      <w:pPr>
        <w:pStyle w:val="Heading3"/>
      </w:pPr>
      <w:r>
        <w:rPr>
          <w:color w:val="0A1628"/>
        </w:rPr>
        <w:t>6.6 الأدوية الخاضعة للرقابة</w:t>
      </w:r>
    </w:p>
    <w:p>
      <w:pPr>
        <w:pStyle w:val="ListNumber"/>
      </w:pPr>
      <w:r>
        <w:t>حيثما تحتفظ العيادة بأدوية خاضعة للرقابة تُحفظ في خزانة مزدوجة القفل داخل المخزن المؤمَّن.</w:t>
      </w:r>
    </w:p>
    <w:p>
      <w:pPr>
        <w:pStyle w:val="ListNumber"/>
      </w:pPr>
      <w:r>
        <w:t>يسجّل دفتر مجلَّد للأدوية الخاضعة للرقابة كل استلام وإعطاء مع رصيد جارٍ، ويُطابَق مع المخزون الفعلي كل وردية بواسطة موظفَين.</w:t>
      </w:r>
    </w:p>
    <w:p>
      <w:pPr>
        <w:pStyle w:val="ListNumber"/>
      </w:pPr>
      <w:r>
        <w:t>تُبلَّغ الفروق فوراً للمدير الطبي وتُسجَّل كحادثة.</w:t>
      </w:r>
    </w:p>
    <w:p>
      <w:pPr>
        <w:pStyle w:val="Heading3"/>
      </w:pPr>
      <w:r>
        <w:rPr>
          <w:color w:val="0A1628"/>
        </w:rPr>
        <w:t>6.7 الصلاحية والاستدعاء والتخلص</w:t>
      </w:r>
    </w:p>
    <w:p>
      <w:pPr>
        <w:pStyle w:val="ListNumber"/>
      </w:pPr>
      <w:r>
        <w:t>يُفحص المخزون للصلاحية شهرياً على الأقل. يُقدَّم المخزون قريب الانتهاء أو يُسحَب.</w:t>
      </w:r>
    </w:p>
    <w:p>
      <w:pPr>
        <w:pStyle w:val="ListNumber"/>
      </w:pPr>
      <w:r>
        <w:t>تُنفَّذ إشعارات الاستدعاء عند استلامها، ويُعزَل المخزون المتأثر، ويُسجَّل الإجراء.</w:t>
      </w:r>
    </w:p>
    <w:p>
      <w:pPr>
        <w:pStyle w:val="ListNumber"/>
      </w:pPr>
      <w:r>
        <w:t>تُفصل الأدوية منتهية الصلاحية والمستدعاة وغير الصالحة ويُتخلَّص منها عبر مسار معتمَد وفق سياسة الهيئة للتخلص من الأدوية وإدارة نفاياتها. ويُوثَّق التخلص.</w:t>
      </w:r>
    </w:p>
    <w:p>
      <w:pPr>
        <w:pStyle w:val="Heading3"/>
      </w:pPr>
      <w:r>
        <w:rPr>
          <w:color w:val="0A1628"/>
        </w:rPr>
        <w:t>6.8 حوادث الأدوية</w:t>
      </w:r>
    </w:p>
    <w:p>
      <w:r>
        <w:t>يُبلَّغ عن كل خطأ دوائي وحادثة وشيكة وتفاعل دوائي ضائر عبر سياسة الإبلاغ عن الحوادث، ويُراجَع للسبب، ويُستخدَم لتحسين العملية. ويُصعَّد الضرر الجسيم وفق سياسة الأحداث الجسيمة.</w:t>
      </w:r>
    </w:p>
    <w:p>
      <w:pPr>
        <w:pStyle w:val="Heading2"/>
      </w:pPr>
      <w:r>
        <w:rPr>
          <w:color w:val="0A1628"/>
        </w:rPr>
        <w:t>7. المتابعة والتدقيق</w:t>
      </w:r>
    </w:p>
    <w:p>
      <w:pPr>
        <w:pStyle w:val="ListBullet"/>
      </w:pPr>
      <w:r>
        <w:t>سجلات حرارة يومية يراجعها الأمين أسبوعياً.</w:t>
      </w:r>
    </w:p>
    <w:p>
      <w:pPr>
        <w:pStyle w:val="ListBullet"/>
      </w:pPr>
      <w:r>
        <w:t>فحص أسبوعي لعربة الطوارئ.</w:t>
      </w:r>
    </w:p>
    <w:p>
      <w:pPr>
        <w:pStyle w:val="ListBullet"/>
      </w:pPr>
      <w:r>
        <w:t>تدقيق شهري للصلاحية والمخزون.</w:t>
      </w:r>
    </w:p>
    <w:p>
      <w:pPr>
        <w:pStyle w:val="ListBullet"/>
      </w:pPr>
      <w:r>
        <w:t>مراجعة سنوية لهذه السياسة وقائمة الأدوية وجميع حوادث الأدوية.</w:t>
      </w:r>
    </w:p>
    <w:p>
      <w:pPr>
        <w:pStyle w:val="Heading2"/>
      </w:pPr>
      <w:r>
        <w:rPr>
          <w:color w:val="0A1628"/>
        </w:rPr>
        <w:t>8. المراجع</w:t>
      </w:r>
    </w:p>
    <w:p>
      <w:pPr>
        <w:pStyle w:val="ListBullet"/>
      </w:pPr>
      <w:r>
        <w:t>معايير هيئة الصحة بدبي للمنشآت الخارجية (DHA/HRS/HPSD/ST-45)، القسمان 6 و10.</w:t>
      </w:r>
    </w:p>
    <w:p>
      <w:pPr>
        <w:pStyle w:val="ListBullet"/>
      </w:pPr>
      <w:r>
        <w:t>سياسة أدوية الطوارئ الخاصة بهيئة الصحة بدبي.</w:t>
      </w:r>
    </w:p>
    <w:p>
      <w:pPr>
        <w:pStyle w:val="ListBullet"/>
      </w:pPr>
      <w:r>
        <w:t>سياسة الهيئة لشراء أدوية الطوارئ وغيرها.</w:t>
      </w:r>
    </w:p>
    <w:p>
      <w:pPr>
        <w:pStyle w:val="ListBullet"/>
      </w:pPr>
      <w:r>
        <w:t>سياسة الهيئة للتخلص من الأدوية وإدارة نفاياتها.</w:t>
      </w:r>
    </w:p>
    <w:p>
      <w:pPr>
        <w:pStyle w:val="Heading2"/>
      </w:pPr>
      <w:r>
        <w:rPr>
          <w:color w:val="0A1628"/>
        </w:rPr>
        <w:t>9. سجل المراجعات</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
              <w:rPr>
                <w:b/>
                <w:sz w:val="18"/>
              </w:rPr>
              <w:t>الإصدار</w:t>
            </w:r>
          </w:p>
        </w:tc>
        <w:tc>
          <w:tcPr>
            <w:tcW w:type="dxa" w:w="2160"/>
          </w:tcPr>
          <w:p>
            <w:r/>
            <w:r>
              <w:rPr>
                <w:b/>
                <w:sz w:val="18"/>
              </w:rPr>
              <w:t>التاريخ</w:t>
            </w:r>
          </w:p>
        </w:tc>
        <w:tc>
          <w:tcPr>
            <w:tcW w:type="dxa" w:w="2160"/>
          </w:tcPr>
          <w:p>
            <w:r/>
            <w:r>
              <w:rPr>
                <w:b/>
                <w:sz w:val="18"/>
              </w:rPr>
              <w:t>وصف التغيير</w:t>
            </w:r>
          </w:p>
        </w:tc>
        <w:tc>
          <w:tcPr>
            <w:tcW w:type="dxa" w:w="2160"/>
          </w:tcPr>
          <w:p>
            <w:r/>
            <w:r>
              <w:rPr>
                <w:b/>
                <w:sz w:val="18"/>
              </w:rPr>
              <w:t>المُعِدّ</w:t>
            </w:r>
          </w:p>
        </w:tc>
      </w:tr>
      <w:tr>
        <w:tc>
          <w:tcPr>
            <w:tcW w:type="dxa" w:w="2160"/>
          </w:tcPr>
          <w:p>
            <w:r/>
            <w:r>
              <w:rPr>
                <w:b w:val="0"/>
                <w:sz w:val="18"/>
              </w:rPr>
              <w:t>1.0</w:t>
            </w:r>
          </w:p>
        </w:tc>
        <w:tc>
          <w:tcPr>
            <w:tcW w:type="dxa" w:w="2160"/>
          </w:tcPr>
          <w:p/>
        </w:tc>
        <w:tc>
          <w:tcPr>
            <w:tcW w:type="dxa" w:w="2160"/>
          </w:tcPr>
          <w:p>
            <w:r/>
            <w:r>
              <w:rPr>
                <w:b w:val="0"/>
                <w:sz w:val="18"/>
              </w:rPr>
              <w:t>الإصدار الأولي</w:t>
            </w:r>
          </w:p>
        </w:tc>
        <w:tc>
          <w:tcPr>
            <w:tcW w:type="dxa" w:w="2160"/>
          </w:tcPr>
          <w:p/>
        </w:tc>
      </w:tr>
      <w:tr>
        <w:tc>
          <w:tcPr>
            <w:tcW w:type="dxa" w:w="2160"/>
          </w:tcPr>
          <w:p/>
        </w:tc>
        <w:tc>
          <w:tcPr>
            <w:tcW w:type="dxa" w:w="2160"/>
          </w:tcPr>
          <w:p/>
        </w:tc>
        <w:tc>
          <w:tcPr>
            <w:tcW w:type="dxa" w:w="2160"/>
          </w:tcPr>
          <w:p/>
        </w:tc>
        <w:tc>
          <w:tcPr>
            <w:tcW w:type="dxa" w:w="2160"/>
          </w:tcPr>
          <w:p/>
        </w:tc>
      </w:tr>
    </w:tbl>
    <w:p>
      <w:r>
        <w:br w:type="page"/>
      </w:r>
    </w:p>
    <w:p>
      <w:pPr>
        <w:pStyle w:val="Heading2"/>
      </w:pPr>
      <w:r>
        <w:rPr>
          <w:color w:val="0A1628"/>
        </w:rPr>
        <w:t>المرفق أ: سجل حرارة تخزين الأدوية</w:t>
      </w:r>
    </w:p>
    <w:p>
      <w:r>
        <w:t>الموقع / معرّف الثلاجة | التاريخ | حرارة الصباح | وقت الصباح | التوقيع | حرارة المساء | وقت المساء | التوقيع | الإجراء عند الخروج عن النطاق</w:t>
      </w:r>
    </w:p>
    <w:p>
      <w:pPr>
        <w:pStyle w:val="Heading2"/>
      </w:pPr>
      <w:r>
        <w:rPr>
          <w:color w:val="0A1628"/>
        </w:rPr>
        <w:t>المرفق ب: قائمة فحص أدوية الطوارئ</w:t>
      </w:r>
    </w:p>
    <w:p>
      <w:r>
        <w:t>الدواء | التركيز | الشكل | الكمية المطلوبة | الكمية المتوفرة | أقرب انتهاء صلاحية | فُحص بواسطة | التاريخ | رقم الختم</w:t>
      </w:r>
    </w:p>
    <w:p>
      <w:pPr>
        <w:pStyle w:val="Heading2"/>
      </w:pPr>
      <w:r>
        <w:rPr>
          <w:color w:val="0A1628"/>
        </w:rPr>
        <w:t>المرفق ج: سجل الأدوية الخاضعة للرقابة (الصيغة)</w:t>
      </w:r>
    </w:p>
    <w:p>
      <w:r>
        <w:t>التاريخ | الدواء والتركيز | مستلَم / معطى | المريض / المرجع | الكمية | الرصيد | أعطاه | شهد عليه</w:t>
      </w:r>
    </w:p>
    <w:p>
      <w:r>
        <w:rPr>
          <w:i/>
          <w:color w:val="666666"/>
          <w:sz w:val="17"/>
        </w:rPr>
        <w:t>نموذج مقدَّم من Oryx Medical AI (oryxmedical.ai). عدِّل كل قسم بما يناسب عيادتك قبل الاستخدام. هذا النموذج نقطة انطلاق وليس ضماناً للامتثال.</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