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i/>
        </w:rPr>
        <w:t>English version below. النسخة العربية في نهاية المستند.</w:t>
      </w:r>
    </w:p>
    <w:p>
      <w:pPr>
        <w:pStyle w:val="Heading1"/>
      </w:pPr>
      <w:r>
        <w:rPr>
          <w:color w:val="1C8C82"/>
        </w:rPr>
        <w:t>Infection Prevention and Control Policy</w:t>
      </w:r>
    </w:p>
    <w:p>
      <w:r>
        <w:t>Implements DHA Standards for Outpatient Facilities (DHA/HRS/HPSD/ST-45) Section 11 and DHA Health Facility Guidelines Part D.</w:t>
      </w:r>
    </w:p>
    <w:p>
      <w:pPr>
        <w:pStyle w:val="Heading2"/>
      </w:pPr>
      <w:r>
        <w:rPr>
          <w:color w:val="0A1628"/>
        </w:rPr>
        <w:t>1. Document control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Policy title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Policy number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Version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  <w:t>1.0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Issue date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Effective date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Next review date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Policy owner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  <w:t>Medical Director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Approved by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Approval date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pPr>
        <w:pStyle w:val="Heading2"/>
      </w:pPr>
      <w:r>
        <w:rPr>
          <w:color w:val="0A1628"/>
        </w:rPr>
        <w:t>2. Purpose</w:t>
      </w:r>
    </w:p>
    <w:p>
      <w:r>
        <w:t>To prevent healthcare-associated infection for patients, staff and visitors, and to comply with DHA infection prevention and control requirements.</w:t>
      </w:r>
    </w:p>
    <w:p>
      <w:pPr>
        <w:pStyle w:val="Heading2"/>
      </w:pPr>
      <w:r>
        <w:rPr>
          <w:color w:val="0A1628"/>
        </w:rPr>
        <w:t>3. Scope</w:t>
      </w:r>
    </w:p>
    <w:p>
      <w:r>
        <w:t>All clinical and non-clinical staff, contractors and visitors. All examination, treatment and procedure rooms, the sterilisation area, the clinical waste area, and reception and waiting areas.</w:t>
      </w:r>
    </w:p>
    <w:p>
      <w:pPr>
        <w:pStyle w:val="Heading2"/>
      </w:pPr>
      <w:r>
        <w:rPr>
          <w:color w:val="0A1628"/>
        </w:rPr>
        <w:t>4. Definitions</w:t>
      </w:r>
    </w:p>
    <w:p>
      <w:pPr>
        <w:pStyle w:val="ListBullet"/>
      </w:pPr>
      <w:r>
        <w:t>Standard precautions: infection control practices applied to all patients regardless of diagnosis.</w:t>
      </w:r>
    </w:p>
    <w:p>
      <w:pPr>
        <w:pStyle w:val="ListBullet"/>
      </w:pPr>
      <w:r>
        <w:t>HAI: healthcare-associated infection.</w:t>
      </w:r>
    </w:p>
    <w:p>
      <w:pPr>
        <w:pStyle w:val="ListBullet"/>
      </w:pPr>
      <w:r>
        <w:t>PPE: personal protective equipment.</w:t>
      </w:r>
    </w:p>
    <w:p>
      <w:pPr>
        <w:pStyle w:val="ListBullet"/>
      </w:pPr>
      <w:r>
        <w:t>Point of care: the place where the patient, the provider and the treatment come together.</w:t>
      </w:r>
    </w:p>
    <w:p>
      <w:pPr>
        <w:pStyle w:val="Heading2"/>
      </w:pPr>
      <w:r>
        <w:rPr>
          <w:color w:val="0A1628"/>
        </w:rPr>
        <w:t>5. Responsibilities</w:t>
      </w:r>
    </w:p>
    <w:p>
      <w:pPr>
        <w:pStyle w:val="ListBullet"/>
      </w:pPr>
      <w:r>
        <w:t>Medical Director: owns this policy, ensures resources, reviews infection control performance at the quality committee.</w:t>
      </w:r>
    </w:p>
    <w:p>
      <w:pPr>
        <w:pStyle w:val="ListBullet"/>
      </w:pPr>
      <w:r>
        <w:t>Infection Control Focal Point (named): runs hand hygiene audits, monitors compliance, maintains records, delivers staff training, investigates any HAI.</w:t>
      </w:r>
    </w:p>
    <w:p>
      <w:pPr>
        <w:pStyle w:val="ListBullet"/>
      </w:pPr>
      <w:r>
        <w:t>Nurse in charge: ensures PPE and hand hygiene supplies are stocked in every room, oversees cleaning and sterilisation logs.</w:t>
      </w:r>
    </w:p>
    <w:p>
      <w:pPr>
        <w:pStyle w:val="ListBullet"/>
      </w:pPr>
      <w:r>
        <w:t>All staff: apply standard precautions at all times, complete infection control training on hire and annually, report exposures and breaches.</w:t>
      </w:r>
    </w:p>
    <w:p>
      <w:pPr>
        <w:pStyle w:val="Heading2"/>
      </w:pPr>
      <w:r>
        <w:rPr>
          <w:color w:val="0A1628"/>
        </w:rPr>
        <w:t>6. Procedure</w:t>
      </w:r>
    </w:p>
    <w:p>
      <w:pPr>
        <w:pStyle w:val="Heading3"/>
      </w:pPr>
      <w:r>
        <w:rPr>
          <w:color w:val="0A1628"/>
        </w:rPr>
        <w:t>6.1 Hand hygiene</w:t>
      </w:r>
    </w:p>
    <w:p>
      <w:pPr>
        <w:pStyle w:val="ListNumber"/>
      </w:pPr>
      <w:r>
        <w:t>Perform hand hygiene per the five moments: before touching a patient, before a clean or aseptic procedure, after body fluid exposure risk, after touching a patient, after touching patient surroundings.</w:t>
      </w:r>
    </w:p>
    <w:p>
      <w:pPr>
        <w:pStyle w:val="ListNumber"/>
      </w:pPr>
      <w:r>
        <w:t>Alcohol-based hand rub is available at every point of care. Hand wash stations with soap and disposable towels are available in every clinical room.</w:t>
      </w:r>
    </w:p>
    <w:p>
      <w:pPr>
        <w:pStyle w:val="ListNumber"/>
      </w:pPr>
      <w:r>
        <w:t>The Infection Control Focal Point audits hand hygiene compliance at least monthly using a direct observation form (Attachment A). Results are reported to the quality committee.</w:t>
      </w:r>
    </w:p>
    <w:p>
      <w:pPr>
        <w:pStyle w:val="Heading3"/>
      </w:pPr>
      <w:r>
        <w:rPr>
          <w:color w:val="0A1628"/>
        </w:rPr>
        <w:t>6.2 Personal protective equipment</w:t>
      </w:r>
    </w:p>
    <w:p>
      <w:pPr>
        <w:pStyle w:val="ListNumber"/>
      </w:pPr>
      <w:r>
        <w:t>Gloves, aprons or gowns, surgical masks, and eye protection are selected by task risk assessment and stocked in every clinical room.</w:t>
      </w:r>
    </w:p>
    <w:p>
      <w:pPr>
        <w:pStyle w:val="ListNumber"/>
      </w:pPr>
      <w:r>
        <w:t>PPE is single use and removed and discarded immediately after the task, followed by hand hygiene.</w:t>
      </w:r>
    </w:p>
    <w:p>
      <w:pPr>
        <w:pStyle w:val="Heading3"/>
      </w:pPr>
      <w:r>
        <w:rPr>
          <w:color w:val="0A1628"/>
        </w:rPr>
        <w:t>6.3 Cleaning and disinfection</w:t>
      </w:r>
    </w:p>
    <w:p>
      <w:pPr>
        <w:pStyle w:val="ListNumber"/>
      </w:pPr>
      <w:r>
        <w:t>Environmental cleaning follows the schedule in Attachment B, using a DHA-accepted disinfectant at the correct contact time.</w:t>
      </w:r>
    </w:p>
    <w:p>
      <w:pPr>
        <w:pStyle w:val="ListNumber"/>
      </w:pPr>
      <w:r>
        <w:t>Clinical surfaces and shared equipment are disinfected between every patient.</w:t>
      </w:r>
    </w:p>
    <w:p>
      <w:pPr>
        <w:pStyle w:val="ListNumber"/>
      </w:pPr>
      <w:r>
        <w:t>Cleaning is documented on the room cleaning log (Attachment B). Spills of blood or body fluids are managed with the spill kit and recorded.</w:t>
      </w:r>
    </w:p>
    <w:p>
      <w:pPr>
        <w:pStyle w:val="Heading3"/>
      </w:pPr>
      <w:r>
        <w:rPr>
          <w:color w:val="0A1628"/>
        </w:rPr>
        <w:t>6.4 Sterilisation and single-use devices</w:t>
      </w:r>
    </w:p>
    <w:p>
      <w:pPr>
        <w:pStyle w:val="ListNumber"/>
      </w:pPr>
      <w:r>
        <w:t>Reusable instruments are cleaned, inspected, packaged, sterilised and stored per manufacturer instructions.</w:t>
      </w:r>
    </w:p>
    <w:p>
      <w:pPr>
        <w:pStyle w:val="ListNumber"/>
      </w:pPr>
      <w:r>
        <w:t>Each sterilisation load is monitored with physical, chemical and biological indicators. Load records are retained (Attachment C).</w:t>
      </w:r>
    </w:p>
    <w:p>
      <w:pPr>
        <w:pStyle w:val="ListNumber"/>
      </w:pPr>
      <w:r>
        <w:t>Single-use devices are never reprocessed.</w:t>
      </w:r>
    </w:p>
    <w:p>
      <w:pPr>
        <w:pStyle w:val="ListNumber"/>
      </w:pPr>
      <w:r>
        <w:t>Sterile stock is stored off the floor, away from moisture, and checked for package integrity and expiry before use.</w:t>
      </w:r>
    </w:p>
    <w:p>
      <w:pPr>
        <w:pStyle w:val="Heading3"/>
      </w:pPr>
      <w:r>
        <w:rPr>
          <w:color w:val="0A1628"/>
        </w:rPr>
        <w:t>6.5 Sharps and clinical waste</w:t>
      </w:r>
    </w:p>
    <w:p>
      <w:pPr>
        <w:pStyle w:val="ListNumber"/>
      </w:pPr>
      <w:r>
        <w:t>Sharps containers are placed at the point of use, not filled above the marked line, and closed and discarded when expired or at the fill line.</w:t>
      </w:r>
    </w:p>
    <w:p>
      <w:pPr>
        <w:pStyle w:val="ListNumber"/>
      </w:pPr>
      <w:r>
        <w:t>Clinical and general waste are segregated at the point of generation into the correct colour-coded bags and containers.</w:t>
      </w:r>
    </w:p>
    <w:p>
      <w:pPr>
        <w:pStyle w:val="ListNumber"/>
      </w:pPr>
      <w:r>
        <w:t>Clinical waste is collected by a Dubai Municipality approved contractor at a frequency matched to the clinic's waste volume. The contract and collection manifests are retained.</w:t>
      </w:r>
    </w:p>
    <w:p>
      <w:pPr>
        <w:pStyle w:val="Heading3"/>
      </w:pPr>
      <w:r>
        <w:rPr>
          <w:color w:val="0A1628"/>
        </w:rPr>
        <w:t>6.6 Staff health and immunisation</w:t>
      </w:r>
    </w:p>
    <w:p>
      <w:pPr>
        <w:pStyle w:val="ListNumber"/>
      </w:pPr>
      <w:r>
        <w:t>On hire, every clinical staff member's immunisation status and evidence of immunity are recorded per the DHA policy for health professional screening and immunisation.</w:t>
      </w:r>
    </w:p>
    <w:p>
      <w:pPr>
        <w:pStyle w:val="ListNumber"/>
      </w:pPr>
      <w:r>
        <w:t>Staff with transmissible infections are managed per the fitness-for-work section of this policy and do not perform patient care while infectious.</w:t>
      </w:r>
    </w:p>
    <w:p>
      <w:pPr>
        <w:pStyle w:val="ListNumber"/>
      </w:pPr>
      <w:r>
        <w:t>Sharps injuries and body fluid exposures are reported immediately, managed per the exposure protocol, and recorded as incidents.</w:t>
      </w:r>
    </w:p>
    <w:p>
      <w:pPr>
        <w:pStyle w:val="Heading3"/>
      </w:pPr>
      <w:r>
        <w:rPr>
          <w:color w:val="0A1628"/>
        </w:rPr>
        <w:t>6.7 Communicable disease notification</w:t>
      </w:r>
    </w:p>
    <w:p>
      <w:r>
        <w:t>Notifiable diseases are reported to the DHA within the required timeframe per the DHA communicable disease notification policy. A log of notifications is kept.</w:t>
      </w:r>
    </w:p>
    <w:p>
      <w:pPr>
        <w:pStyle w:val="Heading3"/>
      </w:pPr>
      <w:r>
        <w:rPr>
          <w:color w:val="0A1628"/>
        </w:rPr>
        <w:t>6.8 Water safety</w:t>
      </w:r>
    </w:p>
    <w:p>
      <w:r>
        <w:t>Drinking water quality is tested quarterly and non-potable water every six months. Dental unit water lines, where present, are tested and treated per manufacturer guidance.</w:t>
      </w:r>
    </w:p>
    <w:p>
      <w:pPr>
        <w:pStyle w:val="Heading2"/>
      </w:pPr>
      <w:r>
        <w:rPr>
          <w:color w:val="0A1628"/>
        </w:rPr>
        <w:t>7. Monitoring and audit</w:t>
      </w:r>
    </w:p>
    <w:p>
      <w:pPr>
        <w:pStyle w:val="ListBullet"/>
      </w:pPr>
      <w:r>
        <w:t>Monthly hand hygiene audit.</w:t>
      </w:r>
    </w:p>
    <w:p>
      <w:pPr>
        <w:pStyle w:val="ListBullet"/>
      </w:pPr>
      <w:r>
        <w:t>Quarterly environmental and sterilisation audit.</w:t>
      </w:r>
    </w:p>
    <w:p>
      <w:pPr>
        <w:pStyle w:val="ListBullet"/>
      </w:pPr>
      <w:r>
        <w:t>Annual review of this policy and of all infection control training records.</w:t>
      </w:r>
    </w:p>
    <w:p>
      <w:pPr>
        <w:pStyle w:val="ListBullet"/>
      </w:pPr>
      <w:r>
        <w:t>Any HAI or sterilisation failure triggers an immediate review and a documented corrective action.</w:t>
      </w:r>
    </w:p>
    <w:p>
      <w:pPr>
        <w:pStyle w:val="Heading2"/>
      </w:pPr>
      <w:r>
        <w:rPr>
          <w:color w:val="0A1628"/>
        </w:rPr>
        <w:t>8. References</w:t>
      </w:r>
    </w:p>
    <w:p>
      <w:pPr>
        <w:pStyle w:val="ListBullet"/>
      </w:pPr>
      <w:r>
        <w:t>DHA Standards for Outpatient Facilities (DHA/HRS/HPSD/ST-45), Section 11.</w:t>
      </w:r>
    </w:p>
    <w:p>
      <w:pPr>
        <w:pStyle w:val="ListBullet"/>
      </w:pPr>
      <w:r>
        <w:t>DHA Health Facility Guidelines, Part D: Infection Control.</w:t>
      </w:r>
    </w:p>
    <w:p>
      <w:pPr>
        <w:pStyle w:val="ListBullet"/>
      </w:pPr>
      <w:r>
        <w:t>DHA policy for health professional screening and immunisation.</w:t>
      </w:r>
    </w:p>
    <w:p>
      <w:pPr>
        <w:pStyle w:val="ListBullet"/>
      </w:pPr>
      <w:r>
        <w:t>DHA communicable disease notification policy.</w:t>
      </w:r>
    </w:p>
    <w:p>
      <w:pPr>
        <w:pStyle w:val="ListBullet"/>
      </w:pPr>
      <w:r>
        <w:t>DHA medical waste / Dubai Municipality waste management requirements.</w:t>
      </w:r>
    </w:p>
    <w:p>
      <w:pPr>
        <w:pStyle w:val="Heading2"/>
      </w:pPr>
      <w:r>
        <w:rPr>
          <w:color w:val="0A1628"/>
        </w:rPr>
        <w:t>9. Revision history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18"/>
              </w:rPr>
              <w:t>Version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8"/>
              </w:rPr>
              <w:t>Date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8"/>
              </w:rPr>
              <w:t>Description of change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8"/>
              </w:rPr>
              <w:t>Author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18"/>
              </w:rPr>
              <w:t>1.0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r/>
            <w:r>
              <w:rPr>
                <w:b w:val="0"/>
                <w:sz w:val="18"/>
              </w:rPr>
              <w:t>Initial issue</w:t>
            </w:r>
          </w:p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r>
        <w:br w:type="page"/>
      </w:r>
    </w:p>
    <w:p>
      <w:pPr>
        <w:pStyle w:val="Heading2"/>
      </w:pPr>
      <w:r>
        <w:rPr>
          <w:color w:val="0A1628"/>
        </w:rPr>
        <w:t>Attachment A: Hand hygiene audit form</w:t>
      </w:r>
    </w:p>
    <w:p>
      <w:r>
        <w:t>Date | Auditor | Location | Role observed | Opportunities | Compliant actions | Compliance % | Comments</w:t>
      </w:r>
    </w:p>
    <w:p>
      <w:pPr>
        <w:pStyle w:val="Heading2"/>
      </w:pPr>
      <w:r>
        <w:rPr>
          <w:color w:val="0A1628"/>
        </w:rPr>
        <w:t>Attachment B: Room cleaning log</w:t>
      </w:r>
    </w:p>
    <w:p>
      <w:r>
        <w:t>Date | Room | Cleaned by (initials) | Time | Disinfectant used | Verified by</w:t>
      </w:r>
    </w:p>
    <w:p>
      <w:pPr>
        <w:pStyle w:val="Heading2"/>
      </w:pPr>
      <w:r>
        <w:rPr>
          <w:color w:val="0A1628"/>
        </w:rPr>
        <w:t>Attachment C: Sterilisation load record</w:t>
      </w:r>
    </w:p>
    <w:p>
      <w:r>
        <w:t>Date | Load number | Cycle parameters | Chemical indicator result | Biological indicator result | Operator | Released by</w:t>
      </w:r>
    </w:p>
    <w:p>
      <w:r>
        <w:rPr>
          <w:i/>
          <w:color w:val="666666"/>
          <w:sz w:val="17"/>
        </w:rPr>
        <w:t>Template provided by Oryx Medical AI (oryxmedical.ai). Adapt every section to your own clinic before use. This is a starting point, not a compliance guarantee.</w:t>
      </w:r>
    </w:p>
    <w:p>
      <w:r>
        <w:br w:type="page"/>
      </w:r>
    </w:p>
    <w:p>
      <w:pPr>
        <w:pStyle w:val="Heading1"/>
      </w:pPr>
      <w:r>
        <w:rPr>
          <w:color w:val="1C8C82"/>
        </w:rPr>
        <w:t>سياسة الوقاية من العدوى ومكافحتها</w:t>
      </w:r>
    </w:p>
    <w:p>
      <w:r>
        <w:t>تنفيذاً لمعايير هيئة الصحة بدبي للمنشآت الخارجية (DHA/HRS/HPSD/ST-45) القسم 11 وإرشادات تصميم المنشآت الصحية الجزء D.</w:t>
      </w:r>
    </w:p>
    <w:p>
      <w:pPr>
        <w:pStyle w:val="Heading2"/>
      </w:pPr>
      <w:r>
        <w:rPr>
          <w:color w:val="0A1628"/>
        </w:rPr>
        <w:t>1. ضبط الوثيقة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عنوان السياسة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رقم السياسة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الإصدار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  <w:t>1.0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تاريخ الإصدار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تاريخ السريان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تاريخ المراجعة التالية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مالك السياسة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  <w:t>المدير الطبي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اعتُمدت من قِبل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b/>
                <w:sz w:val="18"/>
              </w:rPr>
              <w:t>تاريخ الاعتماد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sz w:val="18"/>
              </w:rPr>
            </w:r>
          </w:p>
        </w:tc>
      </w:tr>
    </w:tbl>
    <w:p>
      <w:pPr>
        <w:pStyle w:val="Heading2"/>
      </w:pPr>
      <w:r>
        <w:rPr>
          <w:color w:val="0A1628"/>
        </w:rPr>
        <w:t>2. الغرض</w:t>
      </w:r>
    </w:p>
    <w:p>
      <w:r>
        <w:t>الوقاية من العدوى المرتبطة بالرعاية الصحية للمرضى والموظفين والزوار، والامتثال لمتطلبات هيئة الصحة بدبي للوقاية من العدوى ومكافحتها.</w:t>
      </w:r>
    </w:p>
    <w:p>
      <w:pPr>
        <w:pStyle w:val="Heading2"/>
      </w:pPr>
      <w:r>
        <w:rPr>
          <w:color w:val="0A1628"/>
        </w:rPr>
        <w:t>3. النطاق</w:t>
      </w:r>
    </w:p>
    <w:p>
      <w:r>
        <w:t>جميع الموظفين السريريين وغير السريريين والمتعاقدين والزوار. جميع غرف الفحص والعلاج والإجراءات، ومنطقة التعقيم، ومنطقة النفايات السريرية، ومناطق الاستقبال والانتظار.</w:t>
      </w:r>
    </w:p>
    <w:p>
      <w:pPr>
        <w:pStyle w:val="Heading2"/>
      </w:pPr>
      <w:r>
        <w:rPr>
          <w:color w:val="0A1628"/>
        </w:rPr>
        <w:t>4. التعريفات</w:t>
      </w:r>
    </w:p>
    <w:p>
      <w:pPr>
        <w:pStyle w:val="ListBullet"/>
      </w:pPr>
      <w:r>
        <w:t>الاحتياطات القياسية: ممارسات مكافحة العدوى المطبَّقة على جميع المرضى بغضّ النظر عن التشخيص.</w:t>
      </w:r>
    </w:p>
    <w:p>
      <w:pPr>
        <w:pStyle w:val="ListBullet"/>
      </w:pPr>
      <w:r>
        <w:t>العدوى المرتبطة بالرعاية الصحية (HAI).</w:t>
      </w:r>
    </w:p>
    <w:p>
      <w:pPr>
        <w:pStyle w:val="ListBullet"/>
      </w:pPr>
      <w:r>
        <w:t>معدات الوقاية الشخصية (PPE).</w:t>
      </w:r>
    </w:p>
    <w:p>
      <w:pPr>
        <w:pStyle w:val="ListBullet"/>
      </w:pPr>
      <w:r>
        <w:t>نقطة الرعاية: المكان الذي يلتقي فيه المريض ومقدّم الخدمة والعلاج.</w:t>
      </w:r>
    </w:p>
    <w:p>
      <w:pPr>
        <w:pStyle w:val="Heading2"/>
      </w:pPr>
      <w:r>
        <w:rPr>
          <w:color w:val="0A1628"/>
        </w:rPr>
        <w:t>5. المسؤوليات</w:t>
      </w:r>
    </w:p>
    <w:p>
      <w:pPr>
        <w:pStyle w:val="ListBullet"/>
      </w:pPr>
      <w:r>
        <w:t>المدير الطبي: يملك هذه السياسة ويؤمّن الموارد ويراجع أداء مكافحة العدوى في لجنة الجودة.</w:t>
      </w:r>
    </w:p>
    <w:p>
      <w:pPr>
        <w:pStyle w:val="ListBullet"/>
      </w:pPr>
      <w:r>
        <w:t>منسّق مكافحة العدوى (يُسمّى): ينفّذ تدقيق نظافة اليدين ويراقب الالتزام ويحتفظ بالسجلات ويقدّم التدريب ويحقّق في أي عدوى مرتبطة بالرعاية.</w:t>
      </w:r>
    </w:p>
    <w:p>
      <w:pPr>
        <w:pStyle w:val="ListBullet"/>
      </w:pPr>
      <w:r>
        <w:t>الممرّض المسؤول: يضمن توفّر معدات الوقاية ومستلزمات نظافة اليدين في كل غرفة ويشرف على سجلات التنظيف والتعقيم.</w:t>
      </w:r>
    </w:p>
    <w:p>
      <w:pPr>
        <w:pStyle w:val="ListBullet"/>
      </w:pPr>
      <w:r>
        <w:t>جميع الموظفين: تطبيق الاحتياطات القياسية دائماً، وإكمال تدريب مكافحة العدوى عند التعيين وسنوياً، والإبلاغ عن التعرّضات والمخالفات.</w:t>
      </w:r>
    </w:p>
    <w:p>
      <w:pPr>
        <w:pStyle w:val="Heading2"/>
      </w:pPr>
      <w:r>
        <w:rPr>
          <w:color w:val="0A1628"/>
        </w:rPr>
        <w:t>6. الإجراء</w:t>
      </w:r>
    </w:p>
    <w:p>
      <w:pPr>
        <w:pStyle w:val="Heading3"/>
      </w:pPr>
      <w:r>
        <w:rPr>
          <w:color w:val="0A1628"/>
        </w:rPr>
        <w:t>6.1 نظافة اليدين</w:t>
      </w:r>
    </w:p>
    <w:p>
      <w:pPr>
        <w:pStyle w:val="ListNumber"/>
      </w:pPr>
      <w:r>
        <w:t>تنفيذ نظافة اليدين وفق اللحظات الخمس: قبل ملامسة المريض، قبل إجراء نظيف أو معقّم، بعد خطر التعرّض لسوائل الجسم، بعد ملامسة المريض، بعد ملامسة محيط المريض.</w:t>
      </w:r>
    </w:p>
    <w:p>
      <w:pPr>
        <w:pStyle w:val="ListNumber"/>
      </w:pPr>
      <w:r>
        <w:t>يتوفّر مطهّر اليدين الكحولي في كل نقطة رعاية، ومغاسل بها صابون ومناشف تُستعمل لمرة واحدة في كل غرفة سريرية.</w:t>
      </w:r>
    </w:p>
    <w:p>
      <w:pPr>
        <w:pStyle w:val="ListNumber"/>
      </w:pPr>
      <w:r>
        <w:t>يدقّق منسّق مكافحة العدوى الالتزام بنظافة اليدين شهرياً على الأقل باستخدام نموذج الملاحظة المباشرة (المرفق أ)، وتُرفع النتائج إلى لجنة الجودة.</w:t>
      </w:r>
    </w:p>
    <w:p>
      <w:pPr>
        <w:pStyle w:val="Heading3"/>
      </w:pPr>
      <w:r>
        <w:rPr>
          <w:color w:val="0A1628"/>
        </w:rPr>
        <w:t>6.2 معدات الوقاية الشخصية</w:t>
      </w:r>
    </w:p>
    <w:p>
      <w:pPr>
        <w:pStyle w:val="ListNumber"/>
      </w:pPr>
      <w:r>
        <w:t>تُختار القفازات والمرايل أو العباءات والكمامات الجراحية وواقيات العين حسب تقييم خطر المهمة وتُخزَّن في كل غرفة سريرية.</w:t>
      </w:r>
    </w:p>
    <w:p>
      <w:pPr>
        <w:pStyle w:val="ListNumber"/>
      </w:pPr>
      <w:r>
        <w:t>تُستعمل معدات الوقاية لمرة واحدة وتُنزع وتُتلَف فور انتهاء المهمة تليها نظافة اليدين.</w:t>
      </w:r>
    </w:p>
    <w:p>
      <w:pPr>
        <w:pStyle w:val="Heading3"/>
      </w:pPr>
      <w:r>
        <w:rPr>
          <w:color w:val="0A1628"/>
        </w:rPr>
        <w:t>6.3 التنظيف والتطهير</w:t>
      </w:r>
    </w:p>
    <w:p>
      <w:pPr>
        <w:pStyle w:val="ListNumber"/>
      </w:pPr>
      <w:r>
        <w:t>يتبع التنظيف البيئي الجدول في المرفق ب باستخدام مطهّر معتمَد من الهيئة بزمن التلامس الصحيح.</w:t>
      </w:r>
    </w:p>
    <w:p>
      <w:pPr>
        <w:pStyle w:val="ListNumber"/>
      </w:pPr>
      <w:r>
        <w:t>تُطهَّر الأسطح السريرية والأجهزة المشتركة بين كل مريض وآخر.</w:t>
      </w:r>
    </w:p>
    <w:p>
      <w:pPr>
        <w:pStyle w:val="ListNumber"/>
      </w:pPr>
      <w:r>
        <w:t>يُوثَّق التنظيف في سجل تنظيف الغرف (المرفق ب)، وتُدار انسكابات الدم وسوائل الجسم بعدّة الانسكاب وتُسجَّل.</w:t>
      </w:r>
    </w:p>
    <w:p>
      <w:pPr>
        <w:pStyle w:val="Heading3"/>
      </w:pPr>
      <w:r>
        <w:rPr>
          <w:color w:val="0A1628"/>
        </w:rPr>
        <w:t>6.4 التعقيم والأجهزة أحادية الاستخدام</w:t>
      </w:r>
    </w:p>
    <w:p>
      <w:pPr>
        <w:pStyle w:val="ListNumber"/>
      </w:pPr>
      <w:r>
        <w:t>تُنظَّف الأدوات القابلة لإعادة الاستخدام وتُفحص وتُغلَّف وتُعقَّم وتُخزَّن وفق تعليمات الشركة المصنِّعة.</w:t>
      </w:r>
    </w:p>
    <w:p>
      <w:pPr>
        <w:pStyle w:val="ListNumber"/>
      </w:pPr>
      <w:r>
        <w:t>تُراقَب كل دورة تعقيم بمؤشرات فيزيائية وكيميائية وحيوية، وتُحفظ سجلات الدورات (المرفق ج).</w:t>
      </w:r>
    </w:p>
    <w:p>
      <w:pPr>
        <w:pStyle w:val="ListNumber"/>
      </w:pPr>
      <w:r>
        <w:t>لا يُعاد أبداً معالجة الأجهزة أحادية الاستخدام.</w:t>
      </w:r>
    </w:p>
    <w:p>
      <w:pPr>
        <w:pStyle w:val="ListNumber"/>
      </w:pPr>
      <w:r>
        <w:t>تُخزَّن المواد المعقّمة بعيداً عن الأرض والرطوبة وتُفحص سلامة التغليف وتاريخ الصلاحية قبل الاستخدام.</w:t>
      </w:r>
    </w:p>
    <w:p>
      <w:pPr>
        <w:pStyle w:val="Heading3"/>
      </w:pPr>
      <w:r>
        <w:rPr>
          <w:color w:val="0A1628"/>
        </w:rPr>
        <w:t>6.5 الأدوات الحادة والنفايات السريرية</w:t>
      </w:r>
    </w:p>
    <w:p>
      <w:pPr>
        <w:pStyle w:val="ListNumber"/>
      </w:pPr>
      <w:r>
        <w:t>توضع حاويات الأدوات الحادة عند نقطة الاستخدام ولا تُملأ فوق الخط المحدَّد وتُغلَق وتُتلَف عند انتهاء صلاحيتها أو عند بلوغ خط الامتلاء.</w:t>
      </w:r>
    </w:p>
    <w:p>
      <w:pPr>
        <w:pStyle w:val="ListNumber"/>
      </w:pPr>
      <w:r>
        <w:t>تُفصل النفايات السريرية والعامة عند نقطة التوليد في الأكياس والحاويات ذات الترميز اللوني الصحيح.</w:t>
      </w:r>
    </w:p>
    <w:p>
      <w:pPr>
        <w:pStyle w:val="ListNumber"/>
      </w:pPr>
      <w:r>
        <w:t>يجمع النفايات السريرية مقاول معتمَد من بلدية دبي بوتيرة تتناسب مع حجم نفايات العيادة، ويُحتفظ بالعقد وإيصالات الجمع.</w:t>
      </w:r>
    </w:p>
    <w:p>
      <w:pPr>
        <w:pStyle w:val="Heading3"/>
      </w:pPr>
      <w:r>
        <w:rPr>
          <w:color w:val="0A1628"/>
        </w:rPr>
        <w:t>6.6 صحة الموظفين والتحصين</w:t>
      </w:r>
    </w:p>
    <w:p>
      <w:pPr>
        <w:pStyle w:val="ListNumber"/>
      </w:pPr>
      <w:r>
        <w:t>عند التعيين تُسجَّل حالة التحصين وإثبات المناعة لكل موظف سريري وفق سياسة الهيئة لفحص وتحصين مهنيي الصحة.</w:t>
      </w:r>
    </w:p>
    <w:p>
      <w:pPr>
        <w:pStyle w:val="ListNumber"/>
      </w:pPr>
      <w:r>
        <w:t>يُدار الموظفون المصابون بعدوى قابلة للانتقال وفق قسم اللياقة للعمل ولا يقدّمون رعاية للمرضى أثناء فترة العدوى.</w:t>
      </w:r>
    </w:p>
    <w:p>
      <w:pPr>
        <w:pStyle w:val="ListNumber"/>
      </w:pPr>
      <w:r>
        <w:t>يُبلَّغ فوراً عن إصابات الأدوات الحادة والتعرّض لسوائل الجسم وتُدار وفق بروتوكول التعرّض وتُسجَّل كحوادث.</w:t>
      </w:r>
    </w:p>
    <w:p>
      <w:pPr>
        <w:pStyle w:val="Heading3"/>
      </w:pPr>
      <w:r>
        <w:rPr>
          <w:color w:val="0A1628"/>
        </w:rPr>
        <w:t>6.7 الإبلاغ عن الأمراض السارية</w:t>
      </w:r>
    </w:p>
    <w:p>
      <w:r>
        <w:t>يُبلَّغ عن الأمراض واجبة الإبلاغ إلى هيئة الصحة بدبي ضمن المدة المطلوبة وفق سياسة الإبلاغ عن الأمراض السارية، ويُحتفظ بسجل للبلاغات.</w:t>
      </w:r>
    </w:p>
    <w:p>
      <w:pPr>
        <w:pStyle w:val="Heading3"/>
      </w:pPr>
      <w:r>
        <w:rPr>
          <w:color w:val="0A1628"/>
        </w:rPr>
        <w:t>6.8 سلامة المياه</w:t>
      </w:r>
    </w:p>
    <w:p>
      <w:r>
        <w:t>تُفحص جودة مياه الشرب ربع سنوياً والمياه غير الصالحة للشرب كل ستة أشهر. تُفحص خطوط مياه وحدات الأسنan، حيثما وُجدت، وتُعالَج وفق إرشادات الشركة المصنِّعة.</w:t>
      </w:r>
    </w:p>
    <w:p>
      <w:pPr>
        <w:pStyle w:val="Heading2"/>
      </w:pPr>
      <w:r>
        <w:rPr>
          <w:color w:val="0A1628"/>
        </w:rPr>
        <w:t>7. المتابعة والتدقيق</w:t>
      </w:r>
    </w:p>
    <w:p>
      <w:pPr>
        <w:pStyle w:val="ListBullet"/>
      </w:pPr>
      <w:r>
        <w:t>تدقيق شهري لنظافة اليدين.</w:t>
      </w:r>
    </w:p>
    <w:p>
      <w:pPr>
        <w:pStyle w:val="ListBullet"/>
      </w:pPr>
      <w:r>
        <w:t>تدقيق ربع سنوي للبيئة والتعقيم.</w:t>
      </w:r>
    </w:p>
    <w:p>
      <w:pPr>
        <w:pStyle w:val="ListBullet"/>
      </w:pPr>
      <w:r>
        <w:t>مراجعة سنوية لهذه السياسة ولجميع سجلات تدريب مكافحة العدوى.</w:t>
      </w:r>
    </w:p>
    <w:p>
      <w:pPr>
        <w:pStyle w:val="ListBullet"/>
      </w:pPr>
      <w:r>
        <w:t>أي عدوى مرتبطة بالرعاية أو فشل في التعقيم يستوجب مراجعة فورية وإجراءً تصحيحياً موثَّقاً.</w:t>
      </w:r>
    </w:p>
    <w:p>
      <w:pPr>
        <w:pStyle w:val="Heading2"/>
      </w:pPr>
      <w:r>
        <w:rPr>
          <w:color w:val="0A1628"/>
        </w:rPr>
        <w:t>8. المراجع</w:t>
      </w:r>
    </w:p>
    <w:p>
      <w:pPr>
        <w:pStyle w:val="ListBullet"/>
      </w:pPr>
      <w:r>
        <w:t>معايير هيئة الصحة بدبي للمنشآت الخارجية (DHA/HRS/HPSD/ST-45)، القسم 11.</w:t>
      </w:r>
    </w:p>
    <w:p>
      <w:pPr>
        <w:pStyle w:val="ListBullet"/>
      </w:pPr>
      <w:r>
        <w:t>إرشادات تصميم المنشآت الصحية، الجزء D: مكافحة العدوى.</w:t>
      </w:r>
    </w:p>
    <w:p>
      <w:pPr>
        <w:pStyle w:val="ListBullet"/>
      </w:pPr>
      <w:r>
        <w:t>سياسة الهيئة لفحص وتحصين مهنيي الصحة.</w:t>
      </w:r>
    </w:p>
    <w:p>
      <w:pPr>
        <w:pStyle w:val="ListBullet"/>
      </w:pPr>
      <w:r>
        <w:t>سياسة الهيئة للإبلاغ عن الأمراض السارية.</w:t>
      </w:r>
    </w:p>
    <w:p>
      <w:pPr>
        <w:pStyle w:val="ListBullet"/>
      </w:pPr>
      <w:r>
        <w:t>متطلبات إدارة النفايات الطبية لبلدية دبي.</w:t>
      </w:r>
    </w:p>
    <w:p>
      <w:pPr>
        <w:pStyle w:val="Heading2"/>
      </w:pPr>
      <w:r>
        <w:rPr>
          <w:color w:val="0A1628"/>
        </w:rPr>
        <w:t>9. سجل المراجعات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/>
            <w:r>
              <w:rPr>
                <w:b/>
                <w:sz w:val="18"/>
              </w:rPr>
              <w:t>الإصدار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8"/>
              </w:rPr>
              <w:t>التاريخ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8"/>
              </w:rPr>
              <w:t>وصف التغيير</w:t>
            </w:r>
          </w:p>
        </w:tc>
        <w:tc>
          <w:tcPr>
            <w:tcW w:type="dxa" w:w="2160"/>
          </w:tcPr>
          <w:p>
            <w:r/>
            <w:r>
              <w:rPr>
                <w:b/>
                <w:sz w:val="18"/>
              </w:rPr>
              <w:t>المُعِدّ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sz w:val="18"/>
              </w:rPr>
              <w:t>1.0</w:t>
            </w:r>
          </w:p>
        </w:tc>
        <w:tc>
          <w:tcPr>
            <w:tcW w:type="dxa" w:w="2160"/>
          </w:tcPr>
          <w:p/>
        </w:tc>
        <w:tc>
          <w:tcPr>
            <w:tcW w:type="dxa" w:w="2160"/>
          </w:tcPr>
          <w:p>
            <w:r/>
            <w:r>
              <w:rPr>
                <w:b w:val="0"/>
                <w:sz w:val="18"/>
              </w:rPr>
              <w:t>الإصدار الأولي</w:t>
            </w:r>
          </w:p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r>
        <w:br w:type="page"/>
      </w:r>
    </w:p>
    <w:p>
      <w:pPr>
        <w:pStyle w:val="Heading2"/>
      </w:pPr>
      <w:r>
        <w:rPr>
          <w:color w:val="0A1628"/>
        </w:rPr>
        <w:t>المرفق أ: نموذج تدقيق نظافة اليدين</w:t>
      </w:r>
    </w:p>
    <w:p>
      <w:r>
        <w:t>التاريخ | المدقّق | الموقع | الدور المُلاحَظ | الفرص | الإجراءات الملتزمة | نسبة الالتزام | ملاحظات</w:t>
      </w:r>
    </w:p>
    <w:p>
      <w:pPr>
        <w:pStyle w:val="Heading2"/>
      </w:pPr>
      <w:r>
        <w:rPr>
          <w:color w:val="0A1628"/>
        </w:rPr>
        <w:t>المرفق ب: سجل تنظيف الغرف</w:t>
      </w:r>
    </w:p>
    <w:p>
      <w:r>
        <w:t>التاريخ | الغرفة | نُظِّفت بواسطة | الوقت | المطهّر المستخدم | تحقّق منها</w:t>
      </w:r>
    </w:p>
    <w:p>
      <w:pPr>
        <w:pStyle w:val="Heading2"/>
      </w:pPr>
      <w:r>
        <w:rPr>
          <w:color w:val="0A1628"/>
        </w:rPr>
        <w:t>المرفق ج: سجل دورة التعقيم</w:t>
      </w:r>
    </w:p>
    <w:p>
      <w:r>
        <w:t>التاريخ | رقم الدورة | معايير الدورة | نتيجة المؤشر الكيميائي | نتيجة المؤشر الحيوي | المشغّل | أفرجت عنها</w:t>
      </w:r>
    </w:p>
    <w:p>
      <w:r>
        <w:rPr>
          <w:i/>
          <w:color w:val="666666"/>
          <w:sz w:val="17"/>
        </w:rPr>
        <w:t>نموذج مقدَّم من Oryx Medical AI (oryxmedical.ai). عدِّل كل قسم بما يناسب عيادتك قبل الاستخدام. هذا النموذج نقطة انطلاق وليس ضماناً للامتثال.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